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A7" w:rsidRDefault="00420FA7" w:rsidP="00CC54E0">
      <w:pPr>
        <w:spacing w:after="0" w:line="276" w:lineRule="auto"/>
        <w:rPr>
          <w:rFonts w:ascii="Tw Cen MT Condensed" w:hAnsi="Tw Cen MT Condensed"/>
          <w:caps/>
          <w:sz w:val="40"/>
        </w:rPr>
      </w:pPr>
    </w:p>
    <w:p w:rsidR="00420FA7" w:rsidRPr="00C978A5" w:rsidRDefault="00420FA7" w:rsidP="00420FA7">
      <w:pPr>
        <w:spacing w:after="0" w:line="276" w:lineRule="auto"/>
        <w:jc w:val="center"/>
        <w:rPr>
          <w:rFonts w:ascii="Tw Cen MT Condensed" w:hAnsi="Tw Cen MT Condensed"/>
          <w:caps/>
          <w:sz w:val="12"/>
          <w:szCs w:val="16"/>
        </w:rPr>
      </w:pPr>
    </w:p>
    <w:p w:rsidR="008A418F" w:rsidRDefault="008A418F" w:rsidP="00420FA7">
      <w:pPr>
        <w:spacing w:after="0" w:line="276" w:lineRule="auto"/>
        <w:jc w:val="center"/>
        <w:rPr>
          <w:rFonts w:ascii="Tw Cen MT Condensed" w:hAnsi="Tw Cen MT Condensed"/>
          <w:caps/>
          <w:sz w:val="40"/>
        </w:rPr>
      </w:pPr>
      <w:r w:rsidRPr="00420FA7">
        <w:rPr>
          <w:rFonts w:ascii="Tw Cen MT Condensed" w:hAnsi="Tw Cen MT Condensed"/>
          <w:caps/>
          <w:sz w:val="40"/>
        </w:rPr>
        <w:t>2020 Tax Year and Work from Home Expenses</w:t>
      </w:r>
    </w:p>
    <w:p w:rsidR="00420FA7" w:rsidRPr="00C978A5" w:rsidRDefault="00420FA7" w:rsidP="00420FA7">
      <w:pPr>
        <w:spacing w:after="0" w:line="276" w:lineRule="auto"/>
        <w:rPr>
          <w:sz w:val="12"/>
          <w:szCs w:val="16"/>
        </w:rPr>
      </w:pPr>
    </w:p>
    <w:p w:rsidR="00435FAB" w:rsidRDefault="009656AD" w:rsidP="00420FA7">
      <w:pPr>
        <w:spacing w:after="0" w:line="276" w:lineRule="auto"/>
      </w:pPr>
      <w:r>
        <w:t xml:space="preserve">With the transition to working from home as a result of the </w:t>
      </w:r>
      <w:r w:rsidR="0043189D">
        <w:t xml:space="preserve">COVID-19 </w:t>
      </w:r>
      <w:r>
        <w:t>pandemic</w:t>
      </w:r>
      <w:r w:rsidR="00724B2E">
        <w:t>,</w:t>
      </w:r>
      <w:r>
        <w:t xml:space="preserve"> </w:t>
      </w:r>
      <w:r w:rsidR="008A418F">
        <w:t xml:space="preserve">many </w:t>
      </w:r>
      <w:r>
        <w:t>questions have come up regarding eligibility for home office deductions</w:t>
      </w:r>
      <w:r w:rsidR="006C6874">
        <w:t xml:space="preserve"> that</w:t>
      </w:r>
      <w:r>
        <w:t xml:space="preserve"> </w:t>
      </w:r>
      <w:r w:rsidR="008A418F">
        <w:t xml:space="preserve">employees </w:t>
      </w:r>
      <w:r>
        <w:t xml:space="preserve">may be able to claim on </w:t>
      </w:r>
      <w:r w:rsidR="008A418F">
        <w:t xml:space="preserve">their </w:t>
      </w:r>
      <w:r>
        <w:t xml:space="preserve">2020 tax return and whether </w:t>
      </w:r>
      <w:r w:rsidR="005D05E2" w:rsidRPr="003978FA">
        <w:t>Victoria University will</w:t>
      </w:r>
      <w:r w:rsidR="005D05E2">
        <w:t xml:space="preserve"> be issuing </w:t>
      </w:r>
      <w:r w:rsidR="002A6EAF">
        <w:t>T2200S</w:t>
      </w:r>
      <w:r>
        <w:t xml:space="preserve"> forms.</w:t>
      </w:r>
    </w:p>
    <w:p w:rsidR="00420FA7" w:rsidRDefault="00420FA7" w:rsidP="00420FA7">
      <w:pPr>
        <w:spacing w:after="0" w:line="276" w:lineRule="auto"/>
      </w:pPr>
    </w:p>
    <w:p w:rsidR="009656AD" w:rsidRDefault="009656AD" w:rsidP="00420FA7">
      <w:pPr>
        <w:spacing w:after="0" w:line="276" w:lineRule="auto"/>
      </w:pPr>
      <w:r>
        <w:t xml:space="preserve">The </w:t>
      </w:r>
      <w:r w:rsidR="006C6874">
        <w:t xml:space="preserve">Canada Revenue Agency (CRA) </w:t>
      </w:r>
      <w:r>
        <w:t xml:space="preserve">recently </w:t>
      </w:r>
      <w:r w:rsidR="00DE2817">
        <w:t>announced</w:t>
      </w:r>
      <w:r>
        <w:t xml:space="preserve"> </w:t>
      </w:r>
      <w:r w:rsidR="009B4BA1">
        <w:t xml:space="preserve">a </w:t>
      </w:r>
      <w:r w:rsidR="00B23C8F">
        <w:t xml:space="preserve">temporary </w:t>
      </w:r>
      <w:r w:rsidR="009B4BA1">
        <w:t xml:space="preserve">simplified method that </w:t>
      </w:r>
      <w:r w:rsidR="006C6874">
        <w:t xml:space="preserve">will </w:t>
      </w:r>
      <w:r w:rsidR="009B4BA1">
        <w:t xml:space="preserve">allow employees </w:t>
      </w:r>
      <w:r w:rsidR="00B23C8F">
        <w:t xml:space="preserve">who worked </w:t>
      </w:r>
      <w:bookmarkStart w:id="0" w:name="_GoBack"/>
      <w:bookmarkEnd w:id="0"/>
      <w:r w:rsidR="00B23C8F">
        <w:t xml:space="preserve">at home </w:t>
      </w:r>
      <w:r w:rsidR="002A6EAF">
        <w:t xml:space="preserve">due to COVID-19 </w:t>
      </w:r>
      <w:r w:rsidR="0043189D">
        <w:t xml:space="preserve">more than </w:t>
      </w:r>
      <w:r w:rsidR="00B23C8F">
        <w:t>50</w:t>
      </w:r>
      <w:r w:rsidR="006C6874">
        <w:t xml:space="preserve"> percent </w:t>
      </w:r>
      <w:r w:rsidR="00B23C8F">
        <w:t>of the time</w:t>
      </w:r>
      <w:r w:rsidR="0043189D">
        <w:t xml:space="preserve"> for </w:t>
      </w:r>
      <w:r w:rsidR="00B23C8F">
        <w:t xml:space="preserve">at least four consecutive weeks </w:t>
      </w:r>
      <w:r w:rsidR="009B4BA1">
        <w:t>during the pandemic</w:t>
      </w:r>
      <w:r w:rsidR="0043189D">
        <w:t>,</w:t>
      </w:r>
      <w:r w:rsidR="009B4BA1">
        <w:t xml:space="preserve"> to claim an amount of $2 per work</w:t>
      </w:r>
      <w:r w:rsidR="00DE2817">
        <w:t xml:space="preserve">ing </w:t>
      </w:r>
      <w:r w:rsidR="009B4BA1">
        <w:t xml:space="preserve">day </w:t>
      </w:r>
      <w:r w:rsidR="006C6874">
        <w:t>(</w:t>
      </w:r>
      <w:r w:rsidR="009B4BA1">
        <w:t>up to a maximum deduction of</w:t>
      </w:r>
      <w:r>
        <w:t xml:space="preserve"> $400</w:t>
      </w:r>
      <w:r w:rsidR="006C6874">
        <w:t>)</w:t>
      </w:r>
      <w:r w:rsidR="0043189D">
        <w:t xml:space="preserve">. </w:t>
      </w:r>
      <w:r w:rsidR="00EC6F6C">
        <w:t>T</w:t>
      </w:r>
      <w:r w:rsidR="0043189D">
        <w:t xml:space="preserve">his simplified method does not </w:t>
      </w:r>
      <w:r>
        <w:t>require</w:t>
      </w:r>
      <w:r w:rsidR="0043189D">
        <w:t xml:space="preserve"> you</w:t>
      </w:r>
      <w:r w:rsidR="006C6874" w:rsidRPr="006C6874">
        <w:t xml:space="preserve"> </w:t>
      </w:r>
      <w:r w:rsidR="006C6874">
        <w:t xml:space="preserve">to </w:t>
      </w:r>
      <w:r w:rsidR="001F1E03">
        <w:t>obtain</w:t>
      </w:r>
      <w:r w:rsidR="006C6874">
        <w:t xml:space="preserve"> a T2200S form</w:t>
      </w:r>
      <w:r>
        <w:t xml:space="preserve"> </w:t>
      </w:r>
      <w:r w:rsidR="006C6874">
        <w:t xml:space="preserve">or </w:t>
      </w:r>
      <w:r>
        <w:t xml:space="preserve">maintain documented receipts to validate </w:t>
      </w:r>
      <w:r w:rsidR="0043189D">
        <w:t xml:space="preserve">your </w:t>
      </w:r>
      <w:r>
        <w:t>claim</w:t>
      </w:r>
      <w:r w:rsidR="006C6874">
        <w:t>.</w:t>
      </w:r>
    </w:p>
    <w:p w:rsidR="00420FA7" w:rsidRDefault="00420FA7" w:rsidP="00420FA7">
      <w:pPr>
        <w:spacing w:after="0" w:line="276" w:lineRule="auto"/>
      </w:pPr>
    </w:p>
    <w:p w:rsidR="00DE2817" w:rsidRPr="000E0FBC" w:rsidRDefault="00DE2817" w:rsidP="00420FA7">
      <w:pPr>
        <w:pStyle w:val="ListParagraph"/>
        <w:numPr>
          <w:ilvl w:val="0"/>
          <w:numId w:val="7"/>
        </w:numPr>
        <w:spacing w:after="0" w:line="276" w:lineRule="auto"/>
        <w:rPr>
          <w:rFonts w:cs="Arial"/>
        </w:rPr>
      </w:pPr>
      <w:r w:rsidRPr="000E0FBC">
        <w:rPr>
          <w:rFonts w:ascii="Arial" w:hAnsi="Arial" w:cs="Arial"/>
        </w:rPr>
        <w:t xml:space="preserve">Working days include any day during which </w:t>
      </w:r>
      <w:r w:rsidR="0043189D">
        <w:rPr>
          <w:rFonts w:ascii="Arial" w:hAnsi="Arial" w:cs="Arial"/>
        </w:rPr>
        <w:t xml:space="preserve">an </w:t>
      </w:r>
      <w:r w:rsidRPr="000E0FBC">
        <w:rPr>
          <w:rFonts w:ascii="Arial" w:hAnsi="Arial" w:cs="Arial"/>
        </w:rPr>
        <w:t>employee performs work</w:t>
      </w:r>
      <w:r w:rsidR="0043189D">
        <w:rPr>
          <w:rFonts w:ascii="Arial" w:hAnsi="Arial" w:cs="Arial"/>
        </w:rPr>
        <w:t>, at their home, for the employer.</w:t>
      </w:r>
      <w:r w:rsidRPr="000E0FBC">
        <w:rPr>
          <w:rFonts w:ascii="Arial" w:hAnsi="Arial" w:cs="Arial"/>
        </w:rPr>
        <w:t xml:space="preserve"> </w:t>
      </w:r>
      <w:r w:rsidR="0043189D">
        <w:rPr>
          <w:rFonts w:ascii="Arial" w:hAnsi="Arial" w:cs="Arial"/>
        </w:rPr>
        <w:t>T</w:t>
      </w:r>
      <w:r w:rsidRPr="000E0FBC">
        <w:rPr>
          <w:rFonts w:ascii="Arial" w:hAnsi="Arial" w:cs="Arial"/>
        </w:rPr>
        <w:t>here are no minimum hours attached to this</w:t>
      </w:r>
      <w:r w:rsidR="0043189D">
        <w:rPr>
          <w:rFonts w:ascii="Arial" w:hAnsi="Arial" w:cs="Arial"/>
        </w:rPr>
        <w:t>,</w:t>
      </w:r>
      <w:r w:rsidR="008A418F">
        <w:rPr>
          <w:rFonts w:ascii="Arial" w:hAnsi="Arial" w:cs="Arial"/>
        </w:rPr>
        <w:t xml:space="preserve"> </w:t>
      </w:r>
      <w:r w:rsidR="0043189D">
        <w:rPr>
          <w:rFonts w:ascii="Arial" w:hAnsi="Arial" w:cs="Arial"/>
        </w:rPr>
        <w:t>b</w:t>
      </w:r>
      <w:r w:rsidR="008A418F">
        <w:rPr>
          <w:rFonts w:ascii="Arial" w:hAnsi="Arial" w:cs="Arial"/>
        </w:rPr>
        <w:t>oth full-time and part-time employees may count any day on which they perform</w:t>
      </w:r>
      <w:r w:rsidR="006C6874">
        <w:rPr>
          <w:rFonts w:ascii="Arial" w:hAnsi="Arial" w:cs="Arial"/>
        </w:rPr>
        <w:t>ed</w:t>
      </w:r>
      <w:r w:rsidR="008A418F">
        <w:rPr>
          <w:rFonts w:ascii="Arial" w:hAnsi="Arial" w:cs="Arial"/>
        </w:rPr>
        <w:t xml:space="preserve"> work</w:t>
      </w:r>
      <w:r w:rsidR="0043189D">
        <w:rPr>
          <w:rFonts w:ascii="Arial" w:hAnsi="Arial" w:cs="Arial"/>
        </w:rPr>
        <w:t xml:space="preserve"> for the employer.</w:t>
      </w:r>
    </w:p>
    <w:p w:rsidR="00DE2817" w:rsidRPr="00420FA7" w:rsidRDefault="00DE2817" w:rsidP="00420FA7">
      <w:pPr>
        <w:pStyle w:val="ListParagraph"/>
        <w:numPr>
          <w:ilvl w:val="0"/>
          <w:numId w:val="7"/>
        </w:numPr>
        <w:spacing w:after="0" w:line="276" w:lineRule="auto"/>
        <w:rPr>
          <w:rFonts w:cs="Arial"/>
        </w:rPr>
      </w:pPr>
      <w:r w:rsidRPr="000E0FBC">
        <w:rPr>
          <w:rFonts w:ascii="Arial" w:hAnsi="Arial" w:cs="Arial"/>
        </w:rPr>
        <w:t>Non-working days such as weekends, statutory holidays, vacation or sick days are not counted.</w:t>
      </w:r>
    </w:p>
    <w:p w:rsidR="00C978A5" w:rsidRDefault="00C978A5" w:rsidP="00420FA7">
      <w:pPr>
        <w:spacing w:after="0" w:line="276" w:lineRule="auto"/>
      </w:pPr>
    </w:p>
    <w:p w:rsidR="009B4BA1" w:rsidRDefault="009B4BA1" w:rsidP="00420FA7">
      <w:pPr>
        <w:spacing w:after="0" w:line="276" w:lineRule="auto"/>
      </w:pPr>
      <w:r>
        <w:t>For m</w:t>
      </w:r>
      <w:r w:rsidR="00E7448B">
        <w:t>ost</w:t>
      </w:r>
      <w:r>
        <w:t xml:space="preserve"> employees</w:t>
      </w:r>
      <w:r w:rsidR="00DE2817">
        <w:t>,</w:t>
      </w:r>
      <w:r>
        <w:t xml:space="preserve"> this simplified method will provide the maximum deduction allowed without the </w:t>
      </w:r>
      <w:r w:rsidR="0043189D">
        <w:t xml:space="preserve">detailed </w:t>
      </w:r>
      <w:r>
        <w:t>record</w:t>
      </w:r>
      <w:r w:rsidR="00DE2817">
        <w:t>-</w:t>
      </w:r>
      <w:r>
        <w:t>keeping normally required for home office deduction claims.</w:t>
      </w:r>
    </w:p>
    <w:p w:rsidR="00420FA7" w:rsidRDefault="00420FA7" w:rsidP="00420FA7">
      <w:pPr>
        <w:spacing w:after="0" w:line="276" w:lineRule="auto"/>
      </w:pPr>
    </w:p>
    <w:p w:rsidR="00E7448B" w:rsidRDefault="00E7448B" w:rsidP="00420FA7">
      <w:pPr>
        <w:spacing w:after="0" w:line="276" w:lineRule="auto"/>
        <w:rPr>
          <w:b/>
          <w:color w:val="0070C0"/>
        </w:rPr>
      </w:pPr>
      <w:r w:rsidRPr="00420FA7">
        <w:rPr>
          <w:b/>
          <w:color w:val="0070C0"/>
        </w:rPr>
        <w:t xml:space="preserve">Here </w:t>
      </w:r>
      <w:r w:rsidR="00FF586A" w:rsidRPr="00420FA7">
        <w:rPr>
          <w:b/>
          <w:color w:val="0070C0"/>
        </w:rPr>
        <w:t xml:space="preserve">is an </w:t>
      </w:r>
      <w:r w:rsidRPr="00420FA7">
        <w:rPr>
          <w:b/>
          <w:color w:val="0070C0"/>
        </w:rPr>
        <w:t>illustration</w:t>
      </w:r>
      <w:r w:rsidR="00B23C8F" w:rsidRPr="00420FA7">
        <w:rPr>
          <w:b/>
          <w:color w:val="0070C0"/>
        </w:rPr>
        <w:t xml:space="preserve"> for a homeowner</w:t>
      </w:r>
      <w:r w:rsidRPr="00420FA7">
        <w:rPr>
          <w:b/>
          <w:color w:val="0070C0"/>
        </w:rPr>
        <w:t>:</w:t>
      </w:r>
    </w:p>
    <w:p w:rsidR="00420FA7" w:rsidRPr="00420FA7" w:rsidRDefault="00420FA7" w:rsidP="00420FA7">
      <w:pPr>
        <w:spacing w:after="0" w:line="276" w:lineRule="auto"/>
        <w:rPr>
          <w:b/>
          <w:color w:val="0070C0"/>
          <w:sz w:val="8"/>
          <w:szCs w:val="8"/>
        </w:rPr>
      </w:pPr>
    </w:p>
    <w:tbl>
      <w:tblPr>
        <w:tblStyle w:val="TableGrid"/>
        <w:tblW w:w="0" w:type="auto"/>
        <w:shd w:val="clear" w:color="auto" w:fill="2F5496" w:themeFill="accent5" w:themeFillShade="BF"/>
        <w:tblLook w:val="04A0" w:firstRow="1" w:lastRow="0" w:firstColumn="1" w:lastColumn="0" w:noHBand="0" w:noVBand="1"/>
      </w:tblPr>
      <w:tblGrid>
        <w:gridCol w:w="9350"/>
      </w:tblGrid>
      <w:tr w:rsidR="00E7448B" w:rsidTr="00420FA7">
        <w:tc>
          <w:tcPr>
            <w:tcW w:w="9350" w:type="dxa"/>
            <w:shd w:val="clear" w:color="auto" w:fill="2F5496" w:themeFill="accent5" w:themeFillShade="BF"/>
          </w:tcPr>
          <w:p w:rsidR="005E56AB" w:rsidRPr="00420FA7" w:rsidRDefault="005E56AB" w:rsidP="00420FA7">
            <w:pPr>
              <w:spacing w:line="276" w:lineRule="auto"/>
              <w:rPr>
                <w:color w:val="FFFFFF" w:themeColor="background1"/>
              </w:rPr>
            </w:pPr>
            <w:r w:rsidRPr="00420FA7">
              <w:rPr>
                <w:color w:val="FFFFFF" w:themeColor="background1"/>
              </w:rPr>
              <w:t xml:space="preserve">Sam is a homeowner who lives in a three bedroom townhome with other family members. He has worked from home continuously from March 15 to December 31, 2020. </w:t>
            </w:r>
          </w:p>
          <w:p w:rsidR="005E56AB" w:rsidRPr="00420FA7" w:rsidRDefault="005E56AB" w:rsidP="00420FA7">
            <w:pPr>
              <w:spacing w:line="276" w:lineRule="auto"/>
              <w:rPr>
                <w:color w:val="FFFFFF" w:themeColor="background1"/>
              </w:rPr>
            </w:pPr>
            <w:r w:rsidRPr="00420FA7">
              <w:rPr>
                <w:color w:val="FFFFFF" w:themeColor="background1"/>
              </w:rPr>
              <w:t>The only space available to set up a work area was at the dining table and this space represents eight per cent of the total finished area of the home.</w:t>
            </w:r>
          </w:p>
          <w:p w:rsidR="005E56AB" w:rsidRPr="00420FA7" w:rsidRDefault="005E56AB" w:rsidP="00420FA7">
            <w:pPr>
              <w:spacing w:line="276" w:lineRule="auto"/>
              <w:rPr>
                <w:color w:val="FFFFFF" w:themeColor="background1"/>
              </w:rPr>
            </w:pPr>
            <w:r w:rsidRPr="00420FA7">
              <w:rPr>
                <w:color w:val="FFFFFF" w:themeColor="background1"/>
              </w:rPr>
              <w:t>Sam works an average of 50 hours per week so the common space is further prorated by 29.76 per cent (50 hours divided by 168 hours per week) for a total claim amount of 2.38 per cent.</w:t>
            </w:r>
          </w:p>
          <w:p w:rsidR="005E56AB" w:rsidRPr="00420FA7" w:rsidRDefault="005E56AB" w:rsidP="00420FA7">
            <w:pPr>
              <w:spacing w:line="276" w:lineRule="auto"/>
              <w:rPr>
                <w:color w:val="FFFFFF" w:themeColor="background1"/>
              </w:rPr>
            </w:pPr>
            <w:r w:rsidRPr="00420FA7">
              <w:rPr>
                <w:color w:val="FFFFFF" w:themeColor="background1"/>
              </w:rPr>
              <w:t>The eligible expenses Sam has for a detailed claim are the utilities and the internet access fee which total $3,250, 2.38 percent of this is $77.35.</w:t>
            </w:r>
          </w:p>
          <w:p w:rsidR="005E56AB" w:rsidRPr="00420FA7" w:rsidRDefault="005E56AB" w:rsidP="00420FA7">
            <w:pPr>
              <w:spacing w:line="276" w:lineRule="auto"/>
              <w:rPr>
                <w:color w:val="FFFFFF" w:themeColor="background1"/>
              </w:rPr>
            </w:pPr>
          </w:p>
          <w:p w:rsidR="005E56AB" w:rsidRPr="00420FA7" w:rsidRDefault="005E56AB" w:rsidP="00420FA7">
            <w:pPr>
              <w:spacing w:line="276" w:lineRule="auto"/>
              <w:rPr>
                <w:color w:val="FFFFFF" w:themeColor="background1"/>
              </w:rPr>
            </w:pPr>
            <w:r w:rsidRPr="00420FA7">
              <w:rPr>
                <w:color w:val="FFFFFF" w:themeColor="background1"/>
              </w:rPr>
              <w:t xml:space="preserve">Sam also has invoices for office supplies he paid for, </w:t>
            </w:r>
            <w:r w:rsidR="00CC54E0" w:rsidRPr="00420FA7">
              <w:rPr>
                <w:color w:val="FFFFFF" w:themeColor="background1"/>
              </w:rPr>
              <w:t>totaling</w:t>
            </w:r>
            <w:r w:rsidRPr="00420FA7">
              <w:rPr>
                <w:color w:val="FFFFFF" w:themeColor="background1"/>
              </w:rPr>
              <w:t xml:space="preserve"> $125 which he can claim 100%.</w:t>
            </w:r>
          </w:p>
          <w:p w:rsidR="005E56AB" w:rsidRPr="00420FA7" w:rsidRDefault="005E56AB" w:rsidP="00420FA7">
            <w:pPr>
              <w:spacing w:line="276" w:lineRule="auto"/>
              <w:rPr>
                <w:color w:val="FFFFFF" w:themeColor="background1"/>
              </w:rPr>
            </w:pPr>
          </w:p>
          <w:p w:rsidR="005E56AB" w:rsidRPr="00420FA7" w:rsidRDefault="005D05E2" w:rsidP="00420FA7">
            <w:pPr>
              <w:spacing w:line="276" w:lineRule="auto"/>
              <w:rPr>
                <w:color w:val="FFFFFF" w:themeColor="background1"/>
              </w:rPr>
            </w:pPr>
            <w:r>
              <w:rPr>
                <w:color w:val="FFFFFF" w:themeColor="background1"/>
              </w:rPr>
              <w:t xml:space="preserve">Using a </w:t>
            </w:r>
            <w:r w:rsidR="00C42443" w:rsidRPr="00420FA7">
              <w:rPr>
                <w:color w:val="FFFFFF" w:themeColor="background1"/>
              </w:rPr>
              <w:t xml:space="preserve">T2200S, </w:t>
            </w:r>
            <w:r w:rsidR="005E56AB" w:rsidRPr="00420FA7">
              <w:rPr>
                <w:color w:val="FFFFFF" w:themeColor="background1"/>
              </w:rPr>
              <w:t>Sam</w:t>
            </w:r>
            <w:r w:rsidR="00C42443" w:rsidRPr="00420FA7">
              <w:rPr>
                <w:color w:val="FFFFFF" w:themeColor="background1"/>
              </w:rPr>
              <w:t xml:space="preserve"> would only be able to claim </w:t>
            </w:r>
            <w:r w:rsidR="005E56AB" w:rsidRPr="00420FA7">
              <w:rPr>
                <w:color w:val="FFFFFF" w:themeColor="background1"/>
              </w:rPr>
              <w:t>$202.35.</w:t>
            </w:r>
          </w:p>
          <w:p w:rsidR="005E56AB" w:rsidRPr="00420FA7" w:rsidRDefault="005E56AB" w:rsidP="00420FA7">
            <w:pPr>
              <w:spacing w:line="276" w:lineRule="auto"/>
              <w:rPr>
                <w:color w:val="FFFFFF" w:themeColor="background1"/>
              </w:rPr>
            </w:pPr>
          </w:p>
          <w:p w:rsidR="00E7448B" w:rsidRDefault="005E56AB" w:rsidP="00420FA7">
            <w:pPr>
              <w:spacing w:line="276" w:lineRule="auto"/>
              <w:rPr>
                <w:color w:val="FFFFFF" w:themeColor="background1"/>
              </w:rPr>
            </w:pPr>
            <w:r w:rsidRPr="00420FA7">
              <w:rPr>
                <w:color w:val="FFFFFF" w:themeColor="background1"/>
              </w:rPr>
              <w:t>If Sam worked from home for 190 days (weekends, statutory holidays and vacation have been excluded) a non-accountable deduction (using the simplified method described above) of $380 would provide a greater deduction.</w:t>
            </w:r>
          </w:p>
          <w:p w:rsidR="00420FA7" w:rsidRDefault="00420FA7" w:rsidP="00420FA7">
            <w:pPr>
              <w:spacing w:line="276" w:lineRule="auto"/>
            </w:pPr>
          </w:p>
        </w:tc>
      </w:tr>
    </w:tbl>
    <w:p w:rsidR="00E7448B" w:rsidRDefault="00E7448B" w:rsidP="00420FA7">
      <w:pPr>
        <w:spacing w:after="0" w:line="276" w:lineRule="auto"/>
      </w:pPr>
    </w:p>
    <w:p w:rsidR="00420FA7" w:rsidRDefault="00420FA7" w:rsidP="00420FA7">
      <w:pPr>
        <w:spacing w:after="0" w:line="276" w:lineRule="auto"/>
        <w:rPr>
          <w:b/>
          <w:color w:val="0070C0"/>
        </w:rPr>
      </w:pPr>
    </w:p>
    <w:p w:rsidR="005D05E2" w:rsidRDefault="005D05E2" w:rsidP="00420FA7">
      <w:pPr>
        <w:spacing w:after="0" w:line="276" w:lineRule="auto"/>
        <w:rPr>
          <w:b/>
          <w:color w:val="0070C0"/>
        </w:rPr>
      </w:pPr>
    </w:p>
    <w:p w:rsidR="005D05E2" w:rsidRDefault="005D05E2" w:rsidP="00420FA7">
      <w:pPr>
        <w:spacing w:after="0" w:line="276" w:lineRule="auto"/>
        <w:rPr>
          <w:b/>
          <w:color w:val="0070C0"/>
        </w:rPr>
      </w:pPr>
    </w:p>
    <w:p w:rsidR="00CC54E0" w:rsidRDefault="00CC54E0" w:rsidP="00420FA7">
      <w:pPr>
        <w:spacing w:after="0" w:line="276" w:lineRule="auto"/>
        <w:rPr>
          <w:b/>
          <w:color w:val="0070C0"/>
        </w:rPr>
      </w:pPr>
    </w:p>
    <w:p w:rsidR="00B80E15" w:rsidRDefault="00B80E15" w:rsidP="00420FA7">
      <w:pPr>
        <w:spacing w:after="0" w:line="276" w:lineRule="auto"/>
        <w:rPr>
          <w:b/>
          <w:color w:val="0070C0"/>
        </w:rPr>
      </w:pPr>
      <w:r w:rsidRPr="00420FA7">
        <w:rPr>
          <w:b/>
          <w:color w:val="0070C0"/>
        </w:rPr>
        <w:lastRenderedPageBreak/>
        <w:t xml:space="preserve">The next illustration </w:t>
      </w:r>
      <w:r w:rsidR="005D66A7" w:rsidRPr="00420FA7">
        <w:rPr>
          <w:b/>
          <w:color w:val="0070C0"/>
        </w:rPr>
        <w:t xml:space="preserve">provides an example </w:t>
      </w:r>
      <w:r w:rsidR="00420FA7">
        <w:rPr>
          <w:b/>
          <w:color w:val="0070C0"/>
        </w:rPr>
        <w:t>for those who rent their home:</w:t>
      </w:r>
    </w:p>
    <w:p w:rsidR="00420FA7" w:rsidRPr="00420FA7" w:rsidRDefault="00420FA7" w:rsidP="00420FA7">
      <w:pPr>
        <w:spacing w:after="0" w:line="276" w:lineRule="auto"/>
        <w:rPr>
          <w:b/>
          <w:color w:val="0070C0"/>
          <w:sz w:val="8"/>
          <w:szCs w:val="8"/>
        </w:rPr>
      </w:pPr>
    </w:p>
    <w:tbl>
      <w:tblPr>
        <w:tblStyle w:val="TableGrid"/>
        <w:tblW w:w="0" w:type="auto"/>
        <w:tblLook w:val="04A0" w:firstRow="1" w:lastRow="0" w:firstColumn="1" w:lastColumn="0" w:noHBand="0" w:noVBand="1"/>
      </w:tblPr>
      <w:tblGrid>
        <w:gridCol w:w="9350"/>
      </w:tblGrid>
      <w:tr w:rsidR="00B80E15" w:rsidTr="00420FA7">
        <w:tc>
          <w:tcPr>
            <w:tcW w:w="9350" w:type="dxa"/>
            <w:shd w:val="clear" w:color="auto" w:fill="2F5496" w:themeFill="accent5" w:themeFillShade="BF"/>
          </w:tcPr>
          <w:p w:rsidR="005E56AB" w:rsidRDefault="005E56AB" w:rsidP="00420FA7">
            <w:pPr>
              <w:spacing w:line="276" w:lineRule="auto"/>
              <w:rPr>
                <w:color w:val="FFFFFF" w:themeColor="background1"/>
              </w:rPr>
            </w:pPr>
            <w:r w:rsidRPr="00420FA7">
              <w:rPr>
                <w:color w:val="FFFFFF" w:themeColor="background1"/>
              </w:rPr>
              <w:t>Alexandra and her spouse rent a two bedroom apartment for $2,000 per month. They have both been working from home continuously from April 1 to December 31, 2020.</w:t>
            </w:r>
          </w:p>
          <w:p w:rsidR="00420FA7" w:rsidRPr="00420FA7" w:rsidRDefault="00420FA7" w:rsidP="00420FA7">
            <w:pPr>
              <w:spacing w:line="276" w:lineRule="auto"/>
              <w:rPr>
                <w:color w:val="FFFFFF" w:themeColor="background1"/>
              </w:rPr>
            </w:pPr>
          </w:p>
          <w:p w:rsidR="005E56AB" w:rsidRDefault="005E56AB" w:rsidP="00420FA7">
            <w:pPr>
              <w:spacing w:line="276" w:lineRule="auto"/>
              <w:rPr>
                <w:color w:val="FFFFFF" w:themeColor="background1"/>
              </w:rPr>
            </w:pPr>
            <w:r w:rsidRPr="00420FA7">
              <w:rPr>
                <w:color w:val="FFFFFF" w:themeColor="background1"/>
              </w:rPr>
              <w:t>Alexandra has set up her workspace in the couple's bedroom while her spouse is working from the second bedroom that is usually used as the TV room.</w:t>
            </w:r>
          </w:p>
          <w:p w:rsidR="00420FA7" w:rsidRPr="00420FA7" w:rsidRDefault="00420FA7" w:rsidP="00420FA7">
            <w:pPr>
              <w:spacing w:line="276" w:lineRule="auto"/>
              <w:rPr>
                <w:color w:val="FFFFFF" w:themeColor="background1"/>
              </w:rPr>
            </w:pPr>
          </w:p>
          <w:p w:rsidR="005E56AB" w:rsidRDefault="005E56AB" w:rsidP="00420FA7">
            <w:pPr>
              <w:spacing w:line="276" w:lineRule="auto"/>
              <w:rPr>
                <w:color w:val="FFFFFF" w:themeColor="background1"/>
              </w:rPr>
            </w:pPr>
            <w:r w:rsidRPr="00420FA7">
              <w:rPr>
                <w:color w:val="FFFFFF" w:themeColor="background1"/>
              </w:rPr>
              <w:t>Alexandra’s space represents 11.25 per cent of the total finished area of the home and she normally works 40 hours per week, allowing her to claim 2.68 per cent of her share of the rent and home internet access.</w:t>
            </w:r>
          </w:p>
          <w:p w:rsidR="00420FA7" w:rsidRPr="00420FA7" w:rsidRDefault="00420FA7" w:rsidP="00420FA7">
            <w:pPr>
              <w:spacing w:line="276" w:lineRule="auto"/>
              <w:rPr>
                <w:color w:val="FFFFFF" w:themeColor="background1"/>
              </w:rPr>
            </w:pPr>
          </w:p>
          <w:p w:rsidR="005E56AB" w:rsidRDefault="005E56AB" w:rsidP="00420FA7">
            <w:pPr>
              <w:spacing w:line="276" w:lineRule="auto"/>
              <w:rPr>
                <w:color w:val="FFFFFF" w:themeColor="background1"/>
              </w:rPr>
            </w:pPr>
            <w:r w:rsidRPr="00420FA7">
              <w:rPr>
                <w:color w:val="FFFFFF" w:themeColor="background1"/>
              </w:rPr>
              <w:t>Total rent and internet access fees are $18,600</w:t>
            </w:r>
            <w:r w:rsidR="005D05E2">
              <w:rPr>
                <w:color w:val="FFFFFF" w:themeColor="background1"/>
              </w:rPr>
              <w:t xml:space="preserve">. Using the </w:t>
            </w:r>
            <w:r w:rsidR="000023DA" w:rsidRPr="00420FA7">
              <w:rPr>
                <w:color w:val="FFFFFF" w:themeColor="background1"/>
              </w:rPr>
              <w:t xml:space="preserve">T2200S method, </w:t>
            </w:r>
            <w:r w:rsidRPr="00420FA7">
              <w:rPr>
                <w:color w:val="FFFFFF" w:themeColor="background1"/>
              </w:rPr>
              <w:t xml:space="preserve">each spouse may </w:t>
            </w:r>
            <w:r w:rsidR="000B478A" w:rsidRPr="00420FA7">
              <w:rPr>
                <w:color w:val="FFFFFF" w:themeColor="background1"/>
              </w:rPr>
              <w:t xml:space="preserve">only </w:t>
            </w:r>
            <w:r w:rsidRPr="00420FA7">
              <w:rPr>
                <w:color w:val="FFFFFF" w:themeColor="background1"/>
              </w:rPr>
              <w:t>allocate 50</w:t>
            </w:r>
            <w:r w:rsidR="008863E5" w:rsidRPr="00420FA7">
              <w:rPr>
                <w:color w:val="FFFFFF" w:themeColor="background1"/>
              </w:rPr>
              <w:t xml:space="preserve"> per cent</w:t>
            </w:r>
            <w:r w:rsidRPr="00420FA7">
              <w:rPr>
                <w:color w:val="FFFFFF" w:themeColor="background1"/>
              </w:rPr>
              <w:t xml:space="preserve"> or $9,300 to their claim and</w:t>
            </w:r>
            <w:r w:rsidR="008863E5" w:rsidRPr="00420FA7">
              <w:rPr>
                <w:color w:val="FFFFFF" w:themeColor="background1"/>
              </w:rPr>
              <w:t>,</w:t>
            </w:r>
            <w:r w:rsidRPr="00420FA7">
              <w:rPr>
                <w:color w:val="FFFFFF" w:themeColor="background1"/>
              </w:rPr>
              <w:t xml:space="preserve"> at 2.68 per cent</w:t>
            </w:r>
            <w:r w:rsidR="008863E5" w:rsidRPr="00420FA7">
              <w:rPr>
                <w:color w:val="FFFFFF" w:themeColor="background1"/>
              </w:rPr>
              <w:t>,</w:t>
            </w:r>
            <w:r w:rsidRPr="00420FA7">
              <w:rPr>
                <w:color w:val="FFFFFF" w:themeColor="background1"/>
              </w:rPr>
              <w:t xml:space="preserve"> this would </w:t>
            </w:r>
            <w:r w:rsidR="000B478A" w:rsidRPr="00420FA7">
              <w:rPr>
                <w:color w:val="FFFFFF" w:themeColor="background1"/>
              </w:rPr>
              <w:t xml:space="preserve">limit each of their </w:t>
            </w:r>
            <w:r w:rsidR="00C81D48" w:rsidRPr="00420FA7">
              <w:rPr>
                <w:color w:val="FFFFFF" w:themeColor="background1"/>
              </w:rPr>
              <w:t>claim</w:t>
            </w:r>
            <w:r w:rsidR="000B478A" w:rsidRPr="00420FA7">
              <w:rPr>
                <w:color w:val="FFFFFF" w:themeColor="background1"/>
              </w:rPr>
              <w:t>s</w:t>
            </w:r>
            <w:r w:rsidR="00C81D48" w:rsidRPr="00420FA7">
              <w:rPr>
                <w:color w:val="FFFFFF" w:themeColor="background1"/>
              </w:rPr>
              <w:t xml:space="preserve"> </w:t>
            </w:r>
            <w:r w:rsidR="000B478A" w:rsidRPr="00420FA7">
              <w:rPr>
                <w:color w:val="FFFFFF" w:themeColor="background1"/>
              </w:rPr>
              <w:t>to</w:t>
            </w:r>
            <w:r w:rsidR="00C81D48" w:rsidRPr="00420FA7">
              <w:rPr>
                <w:color w:val="FFFFFF" w:themeColor="background1"/>
              </w:rPr>
              <w:t xml:space="preserve"> </w:t>
            </w:r>
            <w:r w:rsidRPr="00420FA7">
              <w:rPr>
                <w:color w:val="FFFFFF" w:themeColor="background1"/>
              </w:rPr>
              <w:t>$249.24.</w:t>
            </w:r>
          </w:p>
          <w:p w:rsidR="00420FA7" w:rsidRPr="00420FA7" w:rsidRDefault="00420FA7" w:rsidP="00420FA7">
            <w:pPr>
              <w:spacing w:line="276" w:lineRule="auto"/>
              <w:rPr>
                <w:color w:val="FFFFFF" w:themeColor="background1"/>
              </w:rPr>
            </w:pPr>
          </w:p>
          <w:p w:rsidR="005E56AB" w:rsidRPr="00420FA7" w:rsidRDefault="005E56AB" w:rsidP="00420FA7">
            <w:pPr>
              <w:spacing w:line="276" w:lineRule="auto"/>
              <w:rPr>
                <w:color w:val="FFFFFF" w:themeColor="background1"/>
              </w:rPr>
            </w:pPr>
            <w:r w:rsidRPr="00420FA7">
              <w:rPr>
                <w:color w:val="FFFFFF" w:themeColor="background1"/>
              </w:rPr>
              <w:t>If Alexandra has worked from home for 180 days (weekends, statutory holidays and vacation have been excluded) a non-accountable deduction (using the simplified method described above) of $360 would provide a greater deduction.</w:t>
            </w:r>
          </w:p>
          <w:p w:rsidR="005E56AB" w:rsidRPr="00420FA7" w:rsidRDefault="005E56AB" w:rsidP="00420FA7">
            <w:pPr>
              <w:spacing w:line="276" w:lineRule="auto"/>
              <w:rPr>
                <w:color w:val="FFFFFF" w:themeColor="background1"/>
              </w:rPr>
            </w:pPr>
          </w:p>
          <w:p w:rsidR="005E56AB" w:rsidRPr="00420FA7" w:rsidRDefault="005E56AB" w:rsidP="00420FA7">
            <w:pPr>
              <w:spacing w:line="276" w:lineRule="auto"/>
              <w:rPr>
                <w:color w:val="FFFFFF" w:themeColor="background1"/>
              </w:rPr>
            </w:pPr>
            <w:r w:rsidRPr="00420FA7">
              <w:rPr>
                <w:color w:val="FFFFFF" w:themeColor="background1"/>
              </w:rPr>
              <w:t>If Alexandra and her spouse are eligible for similar claims that would be a household claim of $720 using the simplified claim as compared to a detailed claim of approximately $500.</w:t>
            </w:r>
          </w:p>
          <w:p w:rsidR="00B80E15" w:rsidRDefault="00B80E15" w:rsidP="00420FA7">
            <w:pPr>
              <w:spacing w:line="276" w:lineRule="auto"/>
            </w:pPr>
          </w:p>
        </w:tc>
      </w:tr>
    </w:tbl>
    <w:p w:rsidR="00B80E15" w:rsidRDefault="00B80E15" w:rsidP="00420FA7">
      <w:pPr>
        <w:spacing w:after="0" w:line="276" w:lineRule="auto"/>
      </w:pPr>
    </w:p>
    <w:p w:rsidR="000B478A" w:rsidRDefault="000B478A" w:rsidP="00420FA7">
      <w:pPr>
        <w:spacing w:after="0" w:line="276" w:lineRule="auto"/>
      </w:pPr>
      <w:r>
        <w:t>You will be able to claim this amount on line 22900, Other Employment Expenses, of your 2020 tax return. This deduction will reduce your taxable income for the year, and will generally result in an income tax refund. However, the amount of the refund may be different based on your unique tax situation.</w:t>
      </w:r>
    </w:p>
    <w:p w:rsidR="00420FA7" w:rsidRDefault="00420FA7" w:rsidP="00420FA7">
      <w:pPr>
        <w:spacing w:after="0" w:line="276" w:lineRule="auto"/>
      </w:pPr>
    </w:p>
    <w:p w:rsidR="00DA76C0" w:rsidRDefault="00DA76C0" w:rsidP="00420FA7">
      <w:pPr>
        <w:spacing w:after="0" w:line="276" w:lineRule="auto"/>
      </w:pPr>
      <w:r w:rsidRPr="005E56AB">
        <w:t>It is also important to understand the difference between a</w:t>
      </w:r>
      <w:r>
        <w:t xml:space="preserve"> common workspace and a</w:t>
      </w:r>
      <w:r w:rsidRPr="005E56AB">
        <w:t xml:space="preserve"> designated workspace, which is an area in your home that is only used for work. An existing home office that contains your personal documents or a spare bedroom containing personal effects </w:t>
      </w:r>
      <w:r>
        <w:t>is</w:t>
      </w:r>
      <w:r w:rsidRPr="005E56AB">
        <w:t xml:space="preserve"> not </w:t>
      </w:r>
      <w:r>
        <w:t xml:space="preserve">a </w:t>
      </w:r>
      <w:r w:rsidRPr="005E56AB">
        <w:t>designated workspace. Most people required to work from home as a result of COVID-19 will be considered to be using a common or shared area in their home for work purposes.</w:t>
      </w:r>
    </w:p>
    <w:p w:rsidR="000023DA" w:rsidRDefault="000023DA" w:rsidP="00420FA7">
      <w:pPr>
        <w:spacing w:after="0" w:line="276" w:lineRule="auto"/>
      </w:pPr>
    </w:p>
    <w:p w:rsidR="0043189D" w:rsidRPr="00C42443" w:rsidRDefault="0043189D" w:rsidP="00420FA7">
      <w:pPr>
        <w:spacing w:after="0" w:line="276" w:lineRule="auto"/>
        <w:rPr>
          <w:b/>
          <w:u w:val="single"/>
        </w:rPr>
      </w:pPr>
      <w:r w:rsidRPr="00C42443">
        <w:rPr>
          <w:b/>
          <w:u w:val="single"/>
        </w:rPr>
        <w:t>Expenses exceeding $2 per working day</w:t>
      </w:r>
    </w:p>
    <w:p w:rsidR="00717AA0" w:rsidRDefault="009B4BA1" w:rsidP="00420FA7">
      <w:pPr>
        <w:spacing w:after="0" w:line="276" w:lineRule="auto"/>
      </w:pPr>
      <w:r>
        <w:t>Depending on your circumstances</w:t>
      </w:r>
      <w:r w:rsidR="005D66A7">
        <w:t>,</w:t>
      </w:r>
      <w:r>
        <w:t xml:space="preserve"> you may be eligible for deductions greater than what the simplified method offers. This will require you </w:t>
      </w:r>
      <w:r w:rsidR="00DE2817">
        <w:t>to</w:t>
      </w:r>
      <w:r w:rsidR="00717AA0">
        <w:t>:</w:t>
      </w:r>
    </w:p>
    <w:p w:rsidR="00420FA7" w:rsidRDefault="00420FA7" w:rsidP="00420FA7">
      <w:pPr>
        <w:spacing w:after="0" w:line="276" w:lineRule="auto"/>
      </w:pPr>
    </w:p>
    <w:p w:rsidR="00717AA0" w:rsidRPr="00E02FB1" w:rsidRDefault="00717AA0" w:rsidP="00420FA7">
      <w:pPr>
        <w:numPr>
          <w:ilvl w:val="0"/>
          <w:numId w:val="9"/>
        </w:numPr>
        <w:shd w:val="clear" w:color="auto" w:fill="FFFFFF"/>
        <w:spacing w:after="0" w:line="276" w:lineRule="auto"/>
        <w:ind w:left="600"/>
        <w:rPr>
          <w:rFonts w:eastAsia="Times New Roman" w:cs="Arial"/>
          <w:color w:val="333333"/>
        </w:rPr>
      </w:pPr>
      <w:r>
        <w:rPr>
          <w:rFonts w:eastAsia="Times New Roman" w:cs="Arial"/>
          <w:color w:val="333333"/>
        </w:rPr>
        <w:t xml:space="preserve">Measure and </w:t>
      </w:r>
      <w:r w:rsidRPr="00E02FB1">
        <w:rPr>
          <w:rFonts w:eastAsia="Times New Roman" w:cs="Arial"/>
          <w:color w:val="333333"/>
        </w:rPr>
        <w:t>total</w:t>
      </w:r>
      <w:r>
        <w:rPr>
          <w:rFonts w:eastAsia="Times New Roman" w:cs="Arial"/>
          <w:color w:val="333333"/>
        </w:rPr>
        <w:t xml:space="preserve"> the</w:t>
      </w:r>
      <w:r w:rsidRPr="00E02FB1">
        <w:rPr>
          <w:rFonts w:eastAsia="Times New Roman" w:cs="Arial"/>
          <w:color w:val="333333"/>
        </w:rPr>
        <w:t xml:space="preserve"> size of your workspace</w:t>
      </w:r>
      <w:r w:rsidR="005D66A7">
        <w:rPr>
          <w:rFonts w:eastAsia="Times New Roman" w:cs="Arial"/>
          <w:color w:val="333333"/>
        </w:rPr>
        <w:t>;</w:t>
      </w:r>
    </w:p>
    <w:p w:rsidR="00717AA0" w:rsidRDefault="00717AA0" w:rsidP="00420FA7">
      <w:pPr>
        <w:numPr>
          <w:ilvl w:val="0"/>
          <w:numId w:val="9"/>
        </w:numPr>
        <w:shd w:val="clear" w:color="auto" w:fill="FFFFFF"/>
        <w:spacing w:after="0" w:line="276" w:lineRule="auto"/>
        <w:ind w:left="600"/>
        <w:rPr>
          <w:rFonts w:eastAsia="Times New Roman" w:cs="Arial"/>
          <w:color w:val="333333"/>
        </w:rPr>
      </w:pPr>
      <w:r>
        <w:rPr>
          <w:rFonts w:eastAsia="Times New Roman" w:cs="Arial"/>
          <w:color w:val="333333"/>
        </w:rPr>
        <w:t xml:space="preserve">Obtain the </w:t>
      </w:r>
      <w:r w:rsidRPr="00E02FB1">
        <w:rPr>
          <w:rFonts w:eastAsia="Times New Roman" w:cs="Arial"/>
          <w:color w:val="333333"/>
        </w:rPr>
        <w:t>total size of all finished areas in your home (including your workspace)</w:t>
      </w:r>
      <w:r w:rsidR="005D66A7">
        <w:rPr>
          <w:rFonts w:eastAsia="Times New Roman" w:cs="Arial"/>
          <w:color w:val="333333"/>
        </w:rPr>
        <w:t>;</w:t>
      </w:r>
    </w:p>
    <w:p w:rsidR="00534651" w:rsidRPr="00E02FB1" w:rsidRDefault="00534651" w:rsidP="00420FA7">
      <w:pPr>
        <w:numPr>
          <w:ilvl w:val="0"/>
          <w:numId w:val="9"/>
        </w:numPr>
        <w:shd w:val="clear" w:color="auto" w:fill="FFFFFF"/>
        <w:spacing w:after="0" w:line="276" w:lineRule="auto"/>
        <w:ind w:left="600"/>
        <w:rPr>
          <w:rFonts w:eastAsia="Times New Roman" w:cs="Arial"/>
          <w:color w:val="333333"/>
        </w:rPr>
      </w:pPr>
      <w:r>
        <w:rPr>
          <w:rFonts w:eastAsia="Times New Roman" w:cs="Arial"/>
          <w:color w:val="333333"/>
        </w:rPr>
        <w:t>If using a common space in the home determine average weekly working hours</w:t>
      </w:r>
      <w:r w:rsidR="005D66A7">
        <w:rPr>
          <w:rFonts w:eastAsia="Times New Roman" w:cs="Arial"/>
          <w:color w:val="333333"/>
        </w:rPr>
        <w:t>; and</w:t>
      </w:r>
    </w:p>
    <w:p w:rsidR="00717AA0" w:rsidRPr="00717AA0" w:rsidRDefault="00717AA0" w:rsidP="00420FA7">
      <w:pPr>
        <w:numPr>
          <w:ilvl w:val="0"/>
          <w:numId w:val="9"/>
        </w:numPr>
        <w:shd w:val="clear" w:color="auto" w:fill="FFFFFF"/>
        <w:spacing w:after="0" w:line="276" w:lineRule="auto"/>
        <w:ind w:left="600"/>
        <w:rPr>
          <w:rFonts w:eastAsia="Times New Roman" w:cs="Arial"/>
          <w:color w:val="333333"/>
          <w:sz w:val="30"/>
          <w:szCs w:val="30"/>
        </w:rPr>
      </w:pPr>
      <w:r>
        <w:rPr>
          <w:rFonts w:eastAsia="Times New Roman" w:cs="Arial"/>
          <w:color w:val="333333"/>
        </w:rPr>
        <w:t xml:space="preserve">Collect and maintain </w:t>
      </w:r>
      <w:r w:rsidRPr="00E02FB1">
        <w:rPr>
          <w:rFonts w:eastAsia="Times New Roman" w:cs="Arial"/>
          <w:color w:val="333333"/>
        </w:rPr>
        <w:t>supporting documents for all of the expenses you can claim for the period(s) you worked from home</w:t>
      </w:r>
    </w:p>
    <w:p w:rsidR="00420FA7" w:rsidRDefault="00420FA7" w:rsidP="00420FA7">
      <w:pPr>
        <w:spacing w:after="0" w:line="276" w:lineRule="auto"/>
      </w:pPr>
    </w:p>
    <w:p w:rsidR="00420FA7" w:rsidRDefault="00420FA7" w:rsidP="00420FA7">
      <w:pPr>
        <w:spacing w:after="0" w:line="276" w:lineRule="auto"/>
      </w:pPr>
    </w:p>
    <w:p w:rsidR="00420FA7" w:rsidRDefault="00420FA7" w:rsidP="00420FA7">
      <w:pPr>
        <w:spacing w:after="0" w:line="276" w:lineRule="auto"/>
      </w:pPr>
    </w:p>
    <w:p w:rsidR="00420FA7" w:rsidRDefault="00420FA7" w:rsidP="00420FA7">
      <w:pPr>
        <w:spacing w:after="0" w:line="276" w:lineRule="auto"/>
      </w:pPr>
    </w:p>
    <w:p w:rsidR="003403F9" w:rsidRDefault="00FF586A" w:rsidP="00420FA7">
      <w:pPr>
        <w:spacing w:after="0" w:line="276" w:lineRule="auto"/>
      </w:pPr>
      <w:r>
        <w:t>To make a detailed claim</w:t>
      </w:r>
      <w:r w:rsidR="005D66A7">
        <w:t>,</w:t>
      </w:r>
      <w:r>
        <w:t xml:space="preserve"> you will require a confirmation of employment form. </w:t>
      </w:r>
      <w:r w:rsidR="00DE2817">
        <w:t xml:space="preserve">Upon request, </w:t>
      </w:r>
      <w:r w:rsidR="00547626">
        <w:t>as Employer, Victoria University</w:t>
      </w:r>
      <w:r w:rsidR="009B4BA1">
        <w:t xml:space="preserve"> </w:t>
      </w:r>
      <w:r w:rsidR="00C42443">
        <w:t>may</w:t>
      </w:r>
      <w:r w:rsidR="009B4BA1">
        <w:t xml:space="preserve"> issue a T2200S form to </w:t>
      </w:r>
      <w:r w:rsidR="00DE2817">
        <w:t xml:space="preserve">validate your conditions of employment to allow you to make a detailed expense claim for your work </w:t>
      </w:r>
      <w:r w:rsidR="005D66A7">
        <w:t xml:space="preserve">at </w:t>
      </w:r>
      <w:r w:rsidR="00DE2817">
        <w:t xml:space="preserve">home space. </w:t>
      </w:r>
    </w:p>
    <w:p w:rsidR="00420FA7" w:rsidRDefault="00420FA7" w:rsidP="00420FA7">
      <w:pPr>
        <w:spacing w:after="0" w:line="276" w:lineRule="auto"/>
      </w:pPr>
    </w:p>
    <w:p w:rsidR="000B478A" w:rsidRDefault="000B478A" w:rsidP="00420FA7">
      <w:pPr>
        <w:spacing w:after="0" w:line="276" w:lineRule="auto"/>
      </w:pPr>
      <w:r>
        <w:t>The incrementally greater amount that you may be able to claim using a T2200S, may not be equal to your investment of time and effort.</w:t>
      </w:r>
    </w:p>
    <w:p w:rsidR="00420FA7" w:rsidRPr="00C42443" w:rsidRDefault="00420FA7" w:rsidP="00420FA7">
      <w:pPr>
        <w:spacing w:after="0" w:line="276" w:lineRule="auto"/>
      </w:pPr>
    </w:p>
    <w:tbl>
      <w:tblPr>
        <w:tblStyle w:val="TableGrid"/>
        <w:tblW w:w="0" w:type="auto"/>
        <w:tblLook w:val="04A0" w:firstRow="1" w:lastRow="0" w:firstColumn="1" w:lastColumn="0" w:noHBand="0" w:noVBand="1"/>
      </w:tblPr>
      <w:tblGrid>
        <w:gridCol w:w="9350"/>
      </w:tblGrid>
      <w:tr w:rsidR="000B478A" w:rsidTr="00420FA7">
        <w:tc>
          <w:tcPr>
            <w:tcW w:w="9350" w:type="dxa"/>
            <w:shd w:val="clear" w:color="auto" w:fill="2F5496" w:themeFill="accent5" w:themeFillShade="BF"/>
          </w:tcPr>
          <w:p w:rsidR="000B478A" w:rsidRDefault="000B478A" w:rsidP="00420FA7">
            <w:pPr>
              <w:spacing w:line="276" w:lineRule="auto"/>
              <w:rPr>
                <w:color w:val="FFFFFF" w:themeColor="background1"/>
              </w:rPr>
            </w:pPr>
            <w:r w:rsidRPr="00420FA7">
              <w:rPr>
                <w:color w:val="FFFFFF" w:themeColor="background1"/>
              </w:rPr>
              <w:t>Walter rents a one bedroom with a small den that was used for his personal computer use and to store household items. From April 1 through December 31, 2020, he also used this space for work.</w:t>
            </w:r>
          </w:p>
          <w:p w:rsidR="00420FA7" w:rsidRPr="00420FA7" w:rsidRDefault="00420FA7" w:rsidP="00420FA7">
            <w:pPr>
              <w:spacing w:line="276" w:lineRule="auto"/>
              <w:rPr>
                <w:color w:val="FFFFFF" w:themeColor="background1"/>
              </w:rPr>
            </w:pPr>
          </w:p>
          <w:p w:rsidR="000B478A" w:rsidRDefault="000B478A" w:rsidP="00420FA7">
            <w:pPr>
              <w:spacing w:line="276" w:lineRule="auto"/>
              <w:rPr>
                <w:color w:val="FFFFFF" w:themeColor="background1"/>
              </w:rPr>
            </w:pPr>
            <w:r w:rsidRPr="00420FA7">
              <w:rPr>
                <w:color w:val="FFFFFF" w:themeColor="background1"/>
              </w:rPr>
              <w:t>The den is considered a common space and, based on Walters working hours of 50 per week, he would be able to allocate 2 per cent of his rent and internet access fee as working from home expenses.</w:t>
            </w:r>
          </w:p>
          <w:p w:rsidR="00420FA7" w:rsidRPr="00420FA7" w:rsidRDefault="00420FA7" w:rsidP="00420FA7">
            <w:pPr>
              <w:spacing w:line="276" w:lineRule="auto"/>
              <w:rPr>
                <w:color w:val="FFFFFF" w:themeColor="background1"/>
              </w:rPr>
            </w:pPr>
          </w:p>
          <w:p w:rsidR="000B478A" w:rsidRPr="00420FA7" w:rsidRDefault="000B478A" w:rsidP="00420FA7">
            <w:pPr>
              <w:spacing w:line="276" w:lineRule="auto"/>
              <w:rPr>
                <w:color w:val="FFFFFF" w:themeColor="background1"/>
              </w:rPr>
            </w:pPr>
            <w:r w:rsidRPr="00420FA7">
              <w:rPr>
                <w:color w:val="FFFFFF" w:themeColor="background1"/>
              </w:rPr>
              <w:t>Walter’s total expenses for a d</w:t>
            </w:r>
            <w:r w:rsidR="00323439">
              <w:rPr>
                <w:color w:val="FFFFFF" w:themeColor="background1"/>
              </w:rPr>
              <w:t xml:space="preserve">etailed claim requiring a </w:t>
            </w:r>
            <w:r w:rsidRPr="00420FA7">
              <w:rPr>
                <w:color w:val="FFFFFF" w:themeColor="background1"/>
              </w:rPr>
              <w:t>T2200S are $20,750. Being able to allocate 2 per cent of that total, Walter is able to claim $415.00.</w:t>
            </w:r>
          </w:p>
          <w:p w:rsidR="000B478A" w:rsidRDefault="000B478A" w:rsidP="00420FA7">
            <w:pPr>
              <w:spacing w:line="276" w:lineRule="auto"/>
              <w:rPr>
                <w:color w:val="FFFFFF" w:themeColor="background1"/>
              </w:rPr>
            </w:pPr>
            <w:r w:rsidRPr="00420FA7">
              <w:rPr>
                <w:color w:val="FFFFFF" w:themeColor="background1"/>
              </w:rPr>
              <w:t>If Walter worked from home for 185 days the simplified calculation would result in a $370.00 claim.</w:t>
            </w:r>
          </w:p>
          <w:p w:rsidR="00420FA7" w:rsidRPr="00420FA7" w:rsidRDefault="00420FA7" w:rsidP="00420FA7">
            <w:pPr>
              <w:spacing w:line="276" w:lineRule="auto"/>
              <w:rPr>
                <w:color w:val="FFFFFF" w:themeColor="background1"/>
              </w:rPr>
            </w:pPr>
          </w:p>
          <w:p w:rsidR="000B478A" w:rsidRDefault="000B478A" w:rsidP="00420FA7">
            <w:pPr>
              <w:spacing w:line="276" w:lineRule="auto"/>
              <w:rPr>
                <w:b/>
                <w:u w:val="single"/>
              </w:rPr>
            </w:pPr>
            <w:r w:rsidRPr="00420FA7">
              <w:rPr>
                <w:color w:val="FFFFFF" w:themeColor="background1"/>
              </w:rPr>
              <w:t>Although the detailed claim provides an additional amount of $45, the additional tax savings, based on Walter’s net taxable income, is only $18 greater than the simplified method which requires no measurements or documented evidence of expenses.</w:t>
            </w:r>
          </w:p>
        </w:tc>
      </w:tr>
    </w:tbl>
    <w:p w:rsidR="000B478A" w:rsidRDefault="000B478A" w:rsidP="00420FA7">
      <w:pPr>
        <w:spacing w:after="0" w:line="276" w:lineRule="auto"/>
      </w:pPr>
    </w:p>
    <w:p w:rsidR="00DE2817" w:rsidRDefault="00DE2817" w:rsidP="00420FA7">
      <w:pPr>
        <w:spacing w:after="0" w:line="276" w:lineRule="auto"/>
      </w:pPr>
      <w:r>
        <w:t>Please note this form only validates the condition of employment requiring you to work from home</w:t>
      </w:r>
      <w:r w:rsidR="002A6EAF">
        <w:t xml:space="preserve"> because of the COVID-19 pandemic</w:t>
      </w:r>
      <w:r>
        <w:t>. It does not provide the value of your eligible deductions</w:t>
      </w:r>
      <w:r w:rsidR="006B7A56">
        <w:t>, as</w:t>
      </w:r>
      <w:r>
        <w:t xml:space="preserve"> that is a personal tax matter. In the event of a CRA audit, you must be prepared to present valid</w:t>
      </w:r>
      <w:r w:rsidR="005D66A7">
        <w:t xml:space="preserve"> </w:t>
      </w:r>
      <w:r>
        <w:t>proof</w:t>
      </w:r>
      <w:r w:rsidR="005D66A7">
        <w:t xml:space="preserve"> (e.g. receipts</w:t>
      </w:r>
      <w:r w:rsidR="00C42443">
        <w:t>, floorplans, rental contracts, etc.</w:t>
      </w:r>
      <w:r w:rsidR="005D66A7">
        <w:t xml:space="preserve">) </w:t>
      </w:r>
      <w:r>
        <w:t>of any deductions you have claimed.</w:t>
      </w:r>
      <w:r w:rsidR="00C42443">
        <w:t xml:space="preserve"> The CRA also occasionally performs in-person inspections of home office claims looking at, among other details, proof that the space is being used solely or jointly for working purposes.</w:t>
      </w:r>
    </w:p>
    <w:p w:rsidR="00B12C0B" w:rsidRDefault="00B12C0B" w:rsidP="00420FA7">
      <w:pPr>
        <w:spacing w:after="0" w:line="276" w:lineRule="auto"/>
        <w:rPr>
          <w:b/>
          <w:u w:val="single"/>
        </w:rPr>
      </w:pPr>
    </w:p>
    <w:p w:rsidR="00881F68" w:rsidRDefault="00881F68" w:rsidP="00881F68">
      <w:pPr>
        <w:spacing w:after="0" w:line="276" w:lineRule="auto"/>
      </w:pPr>
      <w:r>
        <w:t>Before requesting a T2200S form, we suggest you use the tools that the CRA has created to assist you in estimating a detailed work from home expense claim. As with the examples we have provided you may find the non-accountable method provides the greater deduction.</w:t>
      </w:r>
    </w:p>
    <w:p w:rsidR="00881F68" w:rsidRDefault="00881F68" w:rsidP="00881F68">
      <w:pPr>
        <w:spacing w:after="0" w:line="276" w:lineRule="auto"/>
      </w:pPr>
      <w:r>
        <w:t>The following tools are available from CRA:</w:t>
      </w:r>
    </w:p>
    <w:p w:rsidR="00881F68" w:rsidRDefault="00881F68" w:rsidP="00881F68">
      <w:pPr>
        <w:spacing w:after="0" w:line="276" w:lineRule="auto"/>
      </w:pPr>
    </w:p>
    <w:p w:rsidR="00881F68" w:rsidRPr="000E0FBC" w:rsidRDefault="00881F68" w:rsidP="00881F68">
      <w:pPr>
        <w:pStyle w:val="ListParagraph"/>
        <w:numPr>
          <w:ilvl w:val="0"/>
          <w:numId w:val="8"/>
        </w:numPr>
        <w:spacing w:after="0" w:line="276" w:lineRule="auto"/>
        <w:ind w:left="720"/>
        <w:rPr>
          <w:rFonts w:ascii="Arial" w:hAnsi="Arial" w:cs="Arial"/>
        </w:rPr>
      </w:pPr>
      <w:r>
        <w:rPr>
          <w:rFonts w:ascii="Arial" w:hAnsi="Arial" w:cs="Arial"/>
        </w:rPr>
        <w:t>A</w:t>
      </w:r>
      <w:r w:rsidRPr="000E0FBC">
        <w:rPr>
          <w:rFonts w:ascii="Arial" w:hAnsi="Arial" w:cs="Arial"/>
        </w:rPr>
        <w:t xml:space="preserve"> comprehensive </w:t>
      </w:r>
      <w:hyperlink r:id="rId8" w:history="1">
        <w:r>
          <w:rPr>
            <w:rStyle w:val="Hyperlink"/>
            <w:rFonts w:ascii="Arial" w:hAnsi="Arial" w:cs="Arial"/>
          </w:rPr>
          <w:t>list</w:t>
        </w:r>
      </w:hyperlink>
      <w:r w:rsidRPr="000E0FBC">
        <w:rPr>
          <w:rFonts w:ascii="Arial" w:hAnsi="Arial" w:cs="Arial"/>
        </w:rPr>
        <w:t xml:space="preserve"> of eligible expenses</w:t>
      </w:r>
      <w:r>
        <w:rPr>
          <w:rFonts w:ascii="Arial" w:hAnsi="Arial" w:cs="Arial"/>
        </w:rPr>
        <w:t>; and</w:t>
      </w:r>
    </w:p>
    <w:p w:rsidR="00881F68" w:rsidRPr="00C01241" w:rsidRDefault="00881F68" w:rsidP="00881F68">
      <w:pPr>
        <w:pStyle w:val="ListParagraph"/>
        <w:numPr>
          <w:ilvl w:val="0"/>
          <w:numId w:val="6"/>
        </w:numPr>
        <w:spacing w:after="0" w:line="276" w:lineRule="auto"/>
        <w:rPr>
          <w:rFonts w:ascii="Arial" w:hAnsi="Arial" w:cs="Arial"/>
        </w:rPr>
      </w:pPr>
      <w:r>
        <w:rPr>
          <w:rFonts w:ascii="Arial" w:hAnsi="Arial" w:cs="Arial"/>
        </w:rPr>
        <w:t>A</w:t>
      </w:r>
      <w:r w:rsidRPr="00C01241">
        <w:rPr>
          <w:rFonts w:ascii="Arial" w:hAnsi="Arial" w:cs="Arial"/>
        </w:rPr>
        <w:t xml:space="preserve"> </w:t>
      </w:r>
      <w:hyperlink r:id="rId9" w:history="1">
        <w:r>
          <w:rPr>
            <w:rStyle w:val="Hyperlink"/>
            <w:rFonts w:ascii="Arial" w:hAnsi="Arial" w:cs="Arial"/>
          </w:rPr>
          <w:t>calculator</w:t>
        </w:r>
      </w:hyperlink>
      <w:r w:rsidRPr="00C01241">
        <w:rPr>
          <w:rFonts w:ascii="Arial" w:hAnsi="Arial" w:cs="Arial"/>
        </w:rPr>
        <w:t xml:space="preserve"> to assist you in determining the</w:t>
      </w:r>
      <w:r>
        <w:rPr>
          <w:rFonts w:ascii="Arial" w:hAnsi="Arial" w:cs="Arial"/>
        </w:rPr>
        <w:t xml:space="preserve"> eligible </w:t>
      </w:r>
      <w:r w:rsidRPr="00C01241">
        <w:rPr>
          <w:rFonts w:ascii="Arial" w:hAnsi="Arial" w:cs="Arial"/>
        </w:rPr>
        <w:t>claim amount</w:t>
      </w:r>
    </w:p>
    <w:p w:rsidR="00881F68" w:rsidRPr="00881F68" w:rsidRDefault="00881F68" w:rsidP="00881F68">
      <w:pPr>
        <w:spacing w:after="360" w:line="240" w:lineRule="auto"/>
      </w:pPr>
    </w:p>
    <w:p w:rsidR="00881F68" w:rsidRPr="003978FA" w:rsidRDefault="00881F68" w:rsidP="003978FA">
      <w:pPr>
        <w:spacing w:after="360" w:line="240" w:lineRule="auto"/>
      </w:pPr>
      <w:r w:rsidRPr="00881F68">
        <w:t>Please contact the Vic U Finance and Payroll</w:t>
      </w:r>
      <w:r>
        <w:t xml:space="preserve"> </w:t>
      </w:r>
      <w:hyperlink r:id="rId10" w:history="1">
        <w:r w:rsidRPr="003C754A">
          <w:rPr>
            <w:rStyle w:val="Hyperlink"/>
          </w:rPr>
          <w:t>vic.finance@utoronto.ca</w:t>
        </w:r>
      </w:hyperlink>
      <w:r>
        <w:t xml:space="preserve"> </w:t>
      </w:r>
      <w:r w:rsidRPr="00881F68">
        <w:t>if you have any questions regarding this communication.</w:t>
      </w:r>
    </w:p>
    <w:p w:rsidR="00DA76C0" w:rsidRDefault="00DA76C0" w:rsidP="00420FA7">
      <w:pPr>
        <w:spacing w:after="0" w:line="276" w:lineRule="auto"/>
        <w:rPr>
          <w:b/>
          <w:u w:val="single"/>
        </w:rPr>
      </w:pPr>
    </w:p>
    <w:p w:rsidR="009656AD" w:rsidRDefault="009656AD" w:rsidP="00420FA7">
      <w:pPr>
        <w:spacing w:after="0" w:line="276" w:lineRule="auto"/>
      </w:pPr>
    </w:p>
    <w:p w:rsidR="006A7180" w:rsidRDefault="006A7180" w:rsidP="00420FA7">
      <w:pPr>
        <w:spacing w:after="0" w:line="276" w:lineRule="auto"/>
      </w:pPr>
    </w:p>
    <w:p w:rsidR="006A7180" w:rsidRDefault="006A7180" w:rsidP="00420FA7">
      <w:pPr>
        <w:spacing w:after="0" w:line="276" w:lineRule="auto"/>
      </w:pPr>
    </w:p>
    <w:p w:rsidR="006A7180" w:rsidRDefault="006A7180" w:rsidP="00420FA7">
      <w:pPr>
        <w:spacing w:after="0" w:line="276" w:lineRule="auto"/>
      </w:pPr>
    </w:p>
    <w:sectPr w:rsidR="006A7180" w:rsidSect="00420FA7">
      <w:footerReference w:type="default" r:id="rId11"/>
      <w:pgSz w:w="12240" w:h="15840"/>
      <w:pgMar w:top="540" w:right="1440" w:bottom="990" w:left="1440" w:header="720"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A7" w:rsidRDefault="006F71A7" w:rsidP="00810A4A">
      <w:pPr>
        <w:spacing w:after="0" w:line="240" w:lineRule="auto"/>
      </w:pPr>
      <w:r>
        <w:separator/>
      </w:r>
    </w:p>
  </w:endnote>
  <w:endnote w:type="continuationSeparator" w:id="0">
    <w:p w:rsidR="006F71A7" w:rsidRDefault="006F71A7" w:rsidP="0081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4A" w:rsidRDefault="00810A4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3978FA">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3978FA">
      <w:rPr>
        <w:noProof/>
        <w:color w:val="323E4F" w:themeColor="text2" w:themeShade="BF"/>
        <w:sz w:val="24"/>
        <w:szCs w:val="24"/>
      </w:rPr>
      <w:t>2</w:t>
    </w:r>
    <w:r>
      <w:rPr>
        <w:color w:val="323E4F" w:themeColor="text2" w:themeShade="BF"/>
        <w:sz w:val="24"/>
        <w:szCs w:val="24"/>
      </w:rPr>
      <w:fldChar w:fldCharType="end"/>
    </w:r>
  </w:p>
  <w:p w:rsidR="00810A4A" w:rsidRDefault="0081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A7" w:rsidRDefault="006F71A7" w:rsidP="00810A4A">
      <w:pPr>
        <w:spacing w:after="0" w:line="240" w:lineRule="auto"/>
      </w:pPr>
      <w:r>
        <w:separator/>
      </w:r>
    </w:p>
  </w:footnote>
  <w:footnote w:type="continuationSeparator" w:id="0">
    <w:p w:rsidR="006F71A7" w:rsidRDefault="006F71A7" w:rsidP="00810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195"/>
    <w:multiLevelType w:val="hybridMultilevel"/>
    <w:tmpl w:val="19B6A9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654378"/>
    <w:multiLevelType w:val="hybridMultilevel"/>
    <w:tmpl w:val="1FB6F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A45F2"/>
    <w:multiLevelType w:val="hybridMultilevel"/>
    <w:tmpl w:val="1F4E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2BA9"/>
    <w:multiLevelType w:val="hybridMultilevel"/>
    <w:tmpl w:val="6F0A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11EB9"/>
    <w:multiLevelType w:val="multilevel"/>
    <w:tmpl w:val="937C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65BFF"/>
    <w:multiLevelType w:val="multilevel"/>
    <w:tmpl w:val="1FAC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B11C3"/>
    <w:multiLevelType w:val="hybridMultilevel"/>
    <w:tmpl w:val="4E12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5088C"/>
    <w:multiLevelType w:val="hybridMultilevel"/>
    <w:tmpl w:val="1F5C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B26D6"/>
    <w:multiLevelType w:val="hybridMultilevel"/>
    <w:tmpl w:val="1BF0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71220"/>
    <w:multiLevelType w:val="hybridMultilevel"/>
    <w:tmpl w:val="1D84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10E5F"/>
    <w:multiLevelType w:val="multilevel"/>
    <w:tmpl w:val="11C2B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E53C2"/>
    <w:multiLevelType w:val="hybridMultilevel"/>
    <w:tmpl w:val="DF9C2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8"/>
  </w:num>
  <w:num w:numId="5">
    <w:abstractNumId w:val="7"/>
  </w:num>
  <w:num w:numId="6">
    <w:abstractNumId w:val="9"/>
  </w:num>
  <w:num w:numId="7">
    <w:abstractNumId w:val="2"/>
  </w:num>
  <w:num w:numId="8">
    <w:abstractNumId w:val="0"/>
  </w:num>
  <w:num w:numId="9">
    <w:abstractNumId w:val="4"/>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xNzE3MDQ0NzEyMjZW0lEKTi0uzszPAykwNK8FAAJIanEtAAAA"/>
  </w:docVars>
  <w:rsids>
    <w:rsidRoot w:val="009656AD"/>
    <w:rsid w:val="000023DA"/>
    <w:rsid w:val="00025D36"/>
    <w:rsid w:val="000428D5"/>
    <w:rsid w:val="00054AA1"/>
    <w:rsid w:val="00071FC3"/>
    <w:rsid w:val="00082EAF"/>
    <w:rsid w:val="000B478A"/>
    <w:rsid w:val="000E0FBC"/>
    <w:rsid w:val="001225B1"/>
    <w:rsid w:val="001F1E03"/>
    <w:rsid w:val="00206C8E"/>
    <w:rsid w:val="002A6EAF"/>
    <w:rsid w:val="00322B41"/>
    <w:rsid w:val="00323439"/>
    <w:rsid w:val="003403F9"/>
    <w:rsid w:val="0038453E"/>
    <w:rsid w:val="00387646"/>
    <w:rsid w:val="00392BA2"/>
    <w:rsid w:val="00395F00"/>
    <w:rsid w:val="003978FA"/>
    <w:rsid w:val="003B324E"/>
    <w:rsid w:val="00420FA7"/>
    <w:rsid w:val="00421D99"/>
    <w:rsid w:val="0043189D"/>
    <w:rsid w:val="00435FAB"/>
    <w:rsid w:val="0047522C"/>
    <w:rsid w:val="0048521B"/>
    <w:rsid w:val="004B785C"/>
    <w:rsid w:val="004C1C0C"/>
    <w:rsid w:val="00534651"/>
    <w:rsid w:val="00547626"/>
    <w:rsid w:val="00563BFE"/>
    <w:rsid w:val="005D05E2"/>
    <w:rsid w:val="005D66A7"/>
    <w:rsid w:val="005E56AB"/>
    <w:rsid w:val="006A7180"/>
    <w:rsid w:val="006B6DFC"/>
    <w:rsid w:val="006B7A56"/>
    <w:rsid w:val="006C6874"/>
    <w:rsid w:val="006D0948"/>
    <w:rsid w:val="006F71A7"/>
    <w:rsid w:val="00717AA0"/>
    <w:rsid w:val="00724B2E"/>
    <w:rsid w:val="007344EF"/>
    <w:rsid w:val="0075459B"/>
    <w:rsid w:val="007913C6"/>
    <w:rsid w:val="007B0B03"/>
    <w:rsid w:val="0080052A"/>
    <w:rsid w:val="00805C76"/>
    <w:rsid w:val="00810A4A"/>
    <w:rsid w:val="00881F68"/>
    <w:rsid w:val="008863E5"/>
    <w:rsid w:val="008A418F"/>
    <w:rsid w:val="008D7D34"/>
    <w:rsid w:val="00930FEE"/>
    <w:rsid w:val="00940A47"/>
    <w:rsid w:val="009656AD"/>
    <w:rsid w:val="009658B5"/>
    <w:rsid w:val="0097442E"/>
    <w:rsid w:val="009821EA"/>
    <w:rsid w:val="009B4BA1"/>
    <w:rsid w:val="009C1ADE"/>
    <w:rsid w:val="009E78A7"/>
    <w:rsid w:val="00A235B7"/>
    <w:rsid w:val="00A31857"/>
    <w:rsid w:val="00A80834"/>
    <w:rsid w:val="00AD7CC2"/>
    <w:rsid w:val="00B12C0B"/>
    <w:rsid w:val="00B1420A"/>
    <w:rsid w:val="00B16B9B"/>
    <w:rsid w:val="00B23C8F"/>
    <w:rsid w:val="00B545B2"/>
    <w:rsid w:val="00B80E15"/>
    <w:rsid w:val="00B9254A"/>
    <w:rsid w:val="00BA7654"/>
    <w:rsid w:val="00C3280F"/>
    <w:rsid w:val="00C34431"/>
    <w:rsid w:val="00C42443"/>
    <w:rsid w:val="00C81D48"/>
    <w:rsid w:val="00C978A5"/>
    <w:rsid w:val="00CC54E0"/>
    <w:rsid w:val="00D31AF3"/>
    <w:rsid w:val="00D701FF"/>
    <w:rsid w:val="00D834BE"/>
    <w:rsid w:val="00D9133E"/>
    <w:rsid w:val="00D970EE"/>
    <w:rsid w:val="00D9792D"/>
    <w:rsid w:val="00DA76C0"/>
    <w:rsid w:val="00DE2817"/>
    <w:rsid w:val="00E02FB1"/>
    <w:rsid w:val="00E711C2"/>
    <w:rsid w:val="00E7448B"/>
    <w:rsid w:val="00E86734"/>
    <w:rsid w:val="00E9081D"/>
    <w:rsid w:val="00EC6F6C"/>
    <w:rsid w:val="00ED5DF2"/>
    <w:rsid w:val="00EE548A"/>
    <w:rsid w:val="00EF65DE"/>
    <w:rsid w:val="00F816A5"/>
    <w:rsid w:val="00F82329"/>
    <w:rsid w:val="00FF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CA33"/>
  <w15:chartTrackingRefBased/>
  <w15:docId w15:val="{718CC6B1-7D38-4B69-9751-8D6E2AC1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56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56AD"/>
    <w:rPr>
      <w:color w:val="0563C1" w:themeColor="hyperlink"/>
      <w:u w:val="single"/>
    </w:rPr>
  </w:style>
  <w:style w:type="paragraph" w:styleId="ListParagraph">
    <w:name w:val="List Paragraph"/>
    <w:basedOn w:val="Normal"/>
    <w:uiPriority w:val="34"/>
    <w:qFormat/>
    <w:rsid w:val="00F816A5"/>
    <w:pPr>
      <w:ind w:left="720"/>
      <w:contextualSpacing/>
    </w:pPr>
    <w:rPr>
      <w:rFonts w:asciiTheme="minorHAnsi" w:hAnsiTheme="minorHAnsi"/>
    </w:rPr>
  </w:style>
  <w:style w:type="paragraph" w:styleId="BalloonText">
    <w:name w:val="Balloon Text"/>
    <w:basedOn w:val="Normal"/>
    <w:link w:val="BalloonTextChar"/>
    <w:uiPriority w:val="99"/>
    <w:semiHidden/>
    <w:unhideWhenUsed/>
    <w:rsid w:val="00724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B2E"/>
    <w:rPr>
      <w:rFonts w:ascii="Segoe UI" w:hAnsi="Segoe UI" w:cs="Segoe UI"/>
      <w:sz w:val="18"/>
      <w:szCs w:val="18"/>
    </w:rPr>
  </w:style>
  <w:style w:type="character" w:styleId="FollowedHyperlink">
    <w:name w:val="FollowedHyperlink"/>
    <w:basedOn w:val="DefaultParagraphFont"/>
    <w:uiPriority w:val="99"/>
    <w:semiHidden/>
    <w:unhideWhenUsed/>
    <w:rsid w:val="00D9133E"/>
    <w:rPr>
      <w:color w:val="954F72" w:themeColor="followedHyperlink"/>
      <w:u w:val="single"/>
    </w:rPr>
  </w:style>
  <w:style w:type="character" w:styleId="CommentReference">
    <w:name w:val="annotation reference"/>
    <w:basedOn w:val="DefaultParagraphFont"/>
    <w:uiPriority w:val="99"/>
    <w:semiHidden/>
    <w:unhideWhenUsed/>
    <w:rsid w:val="009C1ADE"/>
    <w:rPr>
      <w:sz w:val="16"/>
      <w:szCs w:val="16"/>
    </w:rPr>
  </w:style>
  <w:style w:type="paragraph" w:styleId="CommentText">
    <w:name w:val="annotation text"/>
    <w:basedOn w:val="Normal"/>
    <w:link w:val="CommentTextChar"/>
    <w:uiPriority w:val="99"/>
    <w:semiHidden/>
    <w:unhideWhenUsed/>
    <w:rsid w:val="009C1ADE"/>
    <w:pPr>
      <w:spacing w:line="240" w:lineRule="auto"/>
    </w:pPr>
    <w:rPr>
      <w:sz w:val="20"/>
      <w:szCs w:val="20"/>
    </w:rPr>
  </w:style>
  <w:style w:type="character" w:customStyle="1" w:styleId="CommentTextChar">
    <w:name w:val="Comment Text Char"/>
    <w:basedOn w:val="DefaultParagraphFont"/>
    <w:link w:val="CommentText"/>
    <w:uiPriority w:val="99"/>
    <w:semiHidden/>
    <w:rsid w:val="009C1ADE"/>
    <w:rPr>
      <w:sz w:val="20"/>
      <w:szCs w:val="20"/>
    </w:rPr>
  </w:style>
  <w:style w:type="paragraph" w:styleId="CommentSubject">
    <w:name w:val="annotation subject"/>
    <w:basedOn w:val="CommentText"/>
    <w:next w:val="CommentText"/>
    <w:link w:val="CommentSubjectChar"/>
    <w:uiPriority w:val="99"/>
    <w:semiHidden/>
    <w:unhideWhenUsed/>
    <w:rsid w:val="009C1ADE"/>
    <w:rPr>
      <w:b/>
      <w:bCs/>
    </w:rPr>
  </w:style>
  <w:style w:type="character" w:customStyle="1" w:styleId="CommentSubjectChar">
    <w:name w:val="Comment Subject Char"/>
    <w:basedOn w:val="CommentTextChar"/>
    <w:link w:val="CommentSubject"/>
    <w:uiPriority w:val="99"/>
    <w:semiHidden/>
    <w:rsid w:val="009C1ADE"/>
    <w:rPr>
      <w:b/>
      <w:bCs/>
      <w:sz w:val="20"/>
      <w:szCs w:val="20"/>
    </w:rPr>
  </w:style>
  <w:style w:type="paragraph" w:styleId="Revision">
    <w:name w:val="Revision"/>
    <w:hidden/>
    <w:uiPriority w:val="99"/>
    <w:semiHidden/>
    <w:rsid w:val="009C1ADE"/>
    <w:pPr>
      <w:spacing w:after="0" w:line="240" w:lineRule="auto"/>
    </w:pPr>
  </w:style>
  <w:style w:type="paragraph" w:styleId="Header">
    <w:name w:val="header"/>
    <w:basedOn w:val="Normal"/>
    <w:link w:val="HeaderChar"/>
    <w:uiPriority w:val="99"/>
    <w:unhideWhenUsed/>
    <w:rsid w:val="00810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A4A"/>
  </w:style>
  <w:style w:type="paragraph" w:styleId="Footer">
    <w:name w:val="footer"/>
    <w:basedOn w:val="Normal"/>
    <w:link w:val="FooterChar"/>
    <w:uiPriority w:val="99"/>
    <w:unhideWhenUsed/>
    <w:rsid w:val="00810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5769">
      <w:bodyDiv w:val="1"/>
      <w:marLeft w:val="0"/>
      <w:marRight w:val="0"/>
      <w:marTop w:val="0"/>
      <w:marBottom w:val="0"/>
      <w:divBdr>
        <w:top w:val="none" w:sz="0" w:space="0" w:color="auto"/>
        <w:left w:val="none" w:sz="0" w:space="0" w:color="auto"/>
        <w:bottom w:val="none" w:sz="0" w:space="0" w:color="auto"/>
        <w:right w:val="none" w:sz="0" w:space="0" w:color="auto"/>
      </w:divBdr>
    </w:div>
    <w:div w:id="356926541">
      <w:bodyDiv w:val="1"/>
      <w:marLeft w:val="0"/>
      <w:marRight w:val="0"/>
      <w:marTop w:val="0"/>
      <w:marBottom w:val="0"/>
      <w:divBdr>
        <w:top w:val="none" w:sz="0" w:space="0" w:color="auto"/>
        <w:left w:val="none" w:sz="0" w:space="0" w:color="auto"/>
        <w:bottom w:val="none" w:sz="0" w:space="0" w:color="auto"/>
        <w:right w:val="none" w:sz="0" w:space="0" w:color="auto"/>
      </w:divBdr>
      <w:divsChild>
        <w:div w:id="469900797">
          <w:marLeft w:val="0"/>
          <w:marRight w:val="0"/>
          <w:marTop w:val="0"/>
          <w:marBottom w:val="0"/>
          <w:divBdr>
            <w:top w:val="none" w:sz="0" w:space="0" w:color="auto"/>
            <w:left w:val="none" w:sz="0" w:space="0" w:color="auto"/>
            <w:bottom w:val="none" w:sz="0" w:space="0" w:color="auto"/>
            <w:right w:val="none" w:sz="0" w:space="0" w:color="auto"/>
          </w:divBdr>
          <w:divsChild>
            <w:div w:id="1056053887">
              <w:marLeft w:val="0"/>
              <w:marRight w:val="0"/>
              <w:marTop w:val="0"/>
              <w:marBottom w:val="0"/>
              <w:divBdr>
                <w:top w:val="none" w:sz="0" w:space="0" w:color="auto"/>
                <w:left w:val="none" w:sz="0" w:space="0" w:color="auto"/>
                <w:bottom w:val="none" w:sz="0" w:space="0" w:color="auto"/>
                <w:right w:val="none" w:sz="0" w:space="0" w:color="auto"/>
              </w:divBdr>
              <w:divsChild>
                <w:div w:id="1868788535">
                  <w:marLeft w:val="0"/>
                  <w:marRight w:val="0"/>
                  <w:marTop w:val="0"/>
                  <w:marBottom w:val="0"/>
                  <w:divBdr>
                    <w:top w:val="none" w:sz="0" w:space="0" w:color="auto"/>
                    <w:left w:val="none" w:sz="0" w:space="0" w:color="auto"/>
                    <w:bottom w:val="none" w:sz="0" w:space="0" w:color="auto"/>
                    <w:right w:val="none" w:sz="0" w:space="0" w:color="auto"/>
                  </w:divBdr>
                  <w:divsChild>
                    <w:div w:id="1979333255">
                      <w:marLeft w:val="0"/>
                      <w:marRight w:val="0"/>
                      <w:marTop w:val="0"/>
                      <w:marBottom w:val="0"/>
                      <w:divBdr>
                        <w:top w:val="none" w:sz="0" w:space="0" w:color="auto"/>
                        <w:left w:val="none" w:sz="0" w:space="0" w:color="auto"/>
                        <w:bottom w:val="none" w:sz="0" w:space="0" w:color="auto"/>
                        <w:right w:val="none" w:sz="0" w:space="0" w:color="auto"/>
                      </w:divBdr>
                      <w:divsChild>
                        <w:div w:id="803891227">
                          <w:marLeft w:val="0"/>
                          <w:marRight w:val="0"/>
                          <w:marTop w:val="0"/>
                          <w:marBottom w:val="0"/>
                          <w:divBdr>
                            <w:top w:val="none" w:sz="0" w:space="0" w:color="auto"/>
                            <w:left w:val="none" w:sz="0" w:space="0" w:color="auto"/>
                            <w:bottom w:val="none" w:sz="0" w:space="0" w:color="auto"/>
                            <w:right w:val="none" w:sz="0" w:space="0" w:color="auto"/>
                          </w:divBdr>
                          <w:divsChild>
                            <w:div w:id="1729330750">
                              <w:marLeft w:val="0"/>
                              <w:marRight w:val="0"/>
                              <w:marTop w:val="0"/>
                              <w:marBottom w:val="300"/>
                              <w:divBdr>
                                <w:top w:val="none" w:sz="0" w:space="0" w:color="auto"/>
                                <w:left w:val="none" w:sz="0" w:space="0" w:color="auto"/>
                                <w:bottom w:val="none" w:sz="0" w:space="0" w:color="auto"/>
                                <w:right w:val="none" w:sz="0" w:space="0" w:color="auto"/>
                              </w:divBdr>
                              <w:divsChild>
                                <w:div w:id="2014793292">
                                  <w:marLeft w:val="0"/>
                                  <w:marRight w:val="0"/>
                                  <w:marTop w:val="0"/>
                                  <w:marBottom w:val="0"/>
                                  <w:divBdr>
                                    <w:top w:val="none" w:sz="0" w:space="0" w:color="auto"/>
                                    <w:left w:val="none" w:sz="0" w:space="0" w:color="auto"/>
                                    <w:bottom w:val="none" w:sz="0" w:space="0" w:color="auto"/>
                                    <w:right w:val="none" w:sz="0" w:space="0" w:color="auto"/>
                                  </w:divBdr>
                                  <w:divsChild>
                                    <w:div w:id="376127045">
                                      <w:marLeft w:val="0"/>
                                      <w:marRight w:val="0"/>
                                      <w:marTop w:val="0"/>
                                      <w:marBottom w:val="0"/>
                                      <w:divBdr>
                                        <w:top w:val="none" w:sz="0" w:space="0" w:color="auto"/>
                                        <w:left w:val="none" w:sz="0" w:space="0" w:color="auto"/>
                                        <w:bottom w:val="none" w:sz="0" w:space="0" w:color="auto"/>
                                        <w:right w:val="none" w:sz="0" w:space="0" w:color="auto"/>
                                      </w:divBdr>
                                      <w:divsChild>
                                        <w:div w:id="1543134885">
                                          <w:marLeft w:val="0"/>
                                          <w:marRight w:val="0"/>
                                          <w:marTop w:val="0"/>
                                          <w:marBottom w:val="0"/>
                                          <w:divBdr>
                                            <w:top w:val="none" w:sz="0" w:space="0" w:color="auto"/>
                                            <w:left w:val="none" w:sz="0" w:space="0" w:color="auto"/>
                                            <w:bottom w:val="none" w:sz="0" w:space="0" w:color="auto"/>
                                            <w:right w:val="none" w:sz="0" w:space="0" w:color="auto"/>
                                          </w:divBdr>
                                          <w:divsChild>
                                            <w:div w:id="775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650013">
      <w:bodyDiv w:val="1"/>
      <w:marLeft w:val="0"/>
      <w:marRight w:val="0"/>
      <w:marTop w:val="0"/>
      <w:marBottom w:val="0"/>
      <w:divBdr>
        <w:top w:val="none" w:sz="0" w:space="0" w:color="auto"/>
        <w:left w:val="none" w:sz="0" w:space="0" w:color="auto"/>
        <w:bottom w:val="none" w:sz="0" w:space="0" w:color="auto"/>
        <w:right w:val="none" w:sz="0" w:space="0" w:color="auto"/>
      </w:divBdr>
    </w:div>
    <w:div w:id="2071152208">
      <w:bodyDiv w:val="1"/>
      <w:marLeft w:val="0"/>
      <w:marRight w:val="0"/>
      <w:marTop w:val="0"/>
      <w:marBottom w:val="0"/>
      <w:divBdr>
        <w:top w:val="none" w:sz="0" w:space="0" w:color="auto"/>
        <w:left w:val="none" w:sz="0" w:space="0" w:color="auto"/>
        <w:bottom w:val="none" w:sz="0" w:space="0" w:color="auto"/>
        <w:right w:val="none" w:sz="0" w:space="0" w:color="auto"/>
      </w:divBdr>
      <w:divsChild>
        <w:div w:id="300768015">
          <w:marLeft w:val="0"/>
          <w:marRight w:val="0"/>
          <w:marTop w:val="0"/>
          <w:marBottom w:val="0"/>
          <w:divBdr>
            <w:top w:val="none" w:sz="0" w:space="0" w:color="auto"/>
            <w:left w:val="none" w:sz="0" w:space="0" w:color="auto"/>
            <w:bottom w:val="none" w:sz="0" w:space="0" w:color="auto"/>
            <w:right w:val="none" w:sz="0" w:space="0" w:color="auto"/>
          </w:divBdr>
          <w:divsChild>
            <w:div w:id="1051227708">
              <w:marLeft w:val="0"/>
              <w:marRight w:val="0"/>
              <w:marTop w:val="0"/>
              <w:marBottom w:val="0"/>
              <w:divBdr>
                <w:top w:val="none" w:sz="0" w:space="0" w:color="auto"/>
                <w:left w:val="none" w:sz="0" w:space="0" w:color="auto"/>
                <w:bottom w:val="none" w:sz="0" w:space="0" w:color="auto"/>
                <w:right w:val="none" w:sz="0" w:space="0" w:color="auto"/>
              </w:divBdr>
              <w:divsChild>
                <w:div w:id="529299776">
                  <w:marLeft w:val="0"/>
                  <w:marRight w:val="0"/>
                  <w:marTop w:val="0"/>
                  <w:marBottom w:val="0"/>
                  <w:divBdr>
                    <w:top w:val="none" w:sz="0" w:space="0" w:color="auto"/>
                    <w:left w:val="none" w:sz="0" w:space="0" w:color="auto"/>
                    <w:bottom w:val="none" w:sz="0" w:space="0" w:color="auto"/>
                    <w:right w:val="none" w:sz="0" w:space="0" w:color="auto"/>
                  </w:divBdr>
                  <w:divsChild>
                    <w:div w:id="1931965255">
                      <w:marLeft w:val="0"/>
                      <w:marRight w:val="0"/>
                      <w:marTop w:val="0"/>
                      <w:marBottom w:val="0"/>
                      <w:divBdr>
                        <w:top w:val="none" w:sz="0" w:space="0" w:color="auto"/>
                        <w:left w:val="none" w:sz="0" w:space="0" w:color="auto"/>
                        <w:bottom w:val="none" w:sz="0" w:space="0" w:color="auto"/>
                        <w:right w:val="none" w:sz="0" w:space="0" w:color="auto"/>
                      </w:divBdr>
                      <w:divsChild>
                        <w:div w:id="1457026359">
                          <w:marLeft w:val="0"/>
                          <w:marRight w:val="0"/>
                          <w:marTop w:val="0"/>
                          <w:marBottom w:val="0"/>
                          <w:divBdr>
                            <w:top w:val="none" w:sz="0" w:space="0" w:color="auto"/>
                            <w:left w:val="none" w:sz="0" w:space="0" w:color="auto"/>
                            <w:bottom w:val="none" w:sz="0" w:space="0" w:color="auto"/>
                            <w:right w:val="none" w:sz="0" w:space="0" w:color="auto"/>
                          </w:divBdr>
                          <w:divsChild>
                            <w:div w:id="1668555827">
                              <w:marLeft w:val="0"/>
                              <w:marRight w:val="0"/>
                              <w:marTop w:val="0"/>
                              <w:marBottom w:val="300"/>
                              <w:divBdr>
                                <w:top w:val="none" w:sz="0" w:space="0" w:color="auto"/>
                                <w:left w:val="none" w:sz="0" w:space="0" w:color="auto"/>
                                <w:bottom w:val="none" w:sz="0" w:space="0" w:color="auto"/>
                                <w:right w:val="none" w:sz="0" w:space="0" w:color="auto"/>
                              </w:divBdr>
                              <w:divsChild>
                                <w:div w:id="1204246210">
                                  <w:marLeft w:val="0"/>
                                  <w:marRight w:val="0"/>
                                  <w:marTop w:val="0"/>
                                  <w:marBottom w:val="0"/>
                                  <w:divBdr>
                                    <w:top w:val="none" w:sz="0" w:space="0" w:color="auto"/>
                                    <w:left w:val="none" w:sz="0" w:space="0" w:color="auto"/>
                                    <w:bottom w:val="none" w:sz="0" w:space="0" w:color="auto"/>
                                    <w:right w:val="none" w:sz="0" w:space="0" w:color="auto"/>
                                  </w:divBdr>
                                  <w:divsChild>
                                    <w:div w:id="1131559251">
                                      <w:marLeft w:val="0"/>
                                      <w:marRight w:val="0"/>
                                      <w:marTop w:val="0"/>
                                      <w:marBottom w:val="0"/>
                                      <w:divBdr>
                                        <w:top w:val="none" w:sz="0" w:space="0" w:color="auto"/>
                                        <w:left w:val="none" w:sz="0" w:space="0" w:color="auto"/>
                                        <w:bottom w:val="none" w:sz="0" w:space="0" w:color="auto"/>
                                        <w:right w:val="none" w:sz="0" w:space="0" w:color="auto"/>
                                      </w:divBdr>
                                      <w:divsChild>
                                        <w:div w:id="310134634">
                                          <w:marLeft w:val="0"/>
                                          <w:marRight w:val="0"/>
                                          <w:marTop w:val="0"/>
                                          <w:marBottom w:val="0"/>
                                          <w:divBdr>
                                            <w:top w:val="none" w:sz="0" w:space="0" w:color="auto"/>
                                            <w:left w:val="none" w:sz="0" w:space="0" w:color="auto"/>
                                            <w:bottom w:val="none" w:sz="0" w:space="0" w:color="auto"/>
                                            <w:right w:val="none" w:sz="0" w:space="0" w:color="auto"/>
                                          </w:divBdr>
                                          <w:divsChild>
                                            <w:div w:id="1540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tax/individuals/topics/about-your-tax-return/tax-return/completing-a-tax-return/deductions-credits-expenses/line-229-other-employment-expenses/work-space-home-expenses/expenses-can-clai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c.finance@utoronto.ca" TargetMode="External"/><Relationship Id="rId4" Type="http://schemas.openxmlformats.org/officeDocument/2006/relationships/settings" Target="settings.xml"/><Relationship Id="rId9" Type="http://schemas.openxmlformats.org/officeDocument/2006/relationships/hyperlink" Target="https://www.canada.ca/en/revenue-agency/services/tax/individuals/topics/about-your-tax-return/tax-return/completing-a-tax-return/deductions-credits-expenses/line-229-other-employment-expenses/work-space-home-expenses/calculate-expen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3834-843E-462A-8488-EB225F96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2020 Tax Year and Work From Home Expenses</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Tax Year and Work From Home Expenses</dc:title>
  <dc:subject/>
  <dc:creator>Tina Beauchamp</dc:creator>
  <cp:keywords/>
  <dc:description/>
  <cp:lastModifiedBy>Jessie Wu</cp:lastModifiedBy>
  <cp:revision>15</cp:revision>
  <dcterms:created xsi:type="dcterms:W3CDTF">2020-12-16T23:45:00Z</dcterms:created>
  <dcterms:modified xsi:type="dcterms:W3CDTF">2021-01-18T19:44:00Z</dcterms:modified>
</cp:coreProperties>
</file>